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由于工程施工、设备维修等原因确需停止供水的审批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《城市供水条例》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autoSpaceDE w:val="0"/>
        <w:spacing w:line="570" w:lineRule="exact"/>
        <w:ind w:firstLine="560" w:firstLineChars="200"/>
        <w:jc w:val="both"/>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无</w:t>
      </w: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autoSpaceDE w:val="0"/>
        <w:spacing w:line="570" w:lineRule="exact"/>
        <w:ind w:left="2198" w:leftChars="418" w:hanging="1320" w:hangingChars="300"/>
        <w:jc w:val="both"/>
        <w:rPr>
          <w:rFonts w:hint="eastAsia" w:ascii="方正小标宋简体" w:hAnsi="Times New Roman" w:eastAsia="方正小标宋简体"/>
          <w:sz w:val="44"/>
          <w:szCs w:val="44"/>
          <w:lang w:val="en-US" w:eastAsia="zh-CN"/>
        </w:rPr>
      </w:pPr>
    </w:p>
    <w:p>
      <w:pPr>
        <w:keepNext w:val="0"/>
        <w:keepLines w:val="0"/>
        <w:pageBreakBefore w:val="0"/>
        <w:widowControl w:val="0"/>
        <w:kinsoku/>
        <w:wordWrap/>
        <w:overflowPunct/>
        <w:topLinePunct w:val="0"/>
        <w:autoSpaceDE w:val="0"/>
        <w:autoSpaceDN/>
        <w:bidi w:val="0"/>
        <w:adjustRightInd/>
        <w:snapToGrid/>
        <w:spacing w:line="570" w:lineRule="exact"/>
        <w:ind w:left="0" w:leftChars="0" w:firstLine="0" w:firstLineChars="0"/>
        <w:jc w:val="center"/>
        <w:textAlignment w:val="auto"/>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由于工程施工、设备维修等原因确需停止供水的审批</w:t>
      </w:r>
      <w:r>
        <w:rPr>
          <w:rFonts w:ascii="方正小标宋简体" w:hAnsi="Times New Roman" w:eastAsia="方正小标宋简体"/>
          <w:sz w:val="44"/>
          <w:szCs w:val="44"/>
        </w:rPr>
        <w:t>主项实施规范</w:t>
      </w:r>
    </w:p>
    <w:p>
      <w:pPr>
        <w:jc w:val="center"/>
        <w:rPr>
          <w:rFonts w:ascii="Times New Roman" w:hAnsi="Times New Roman" w:eastAsia="仿宋_GB2312"/>
          <w:sz w:val="32"/>
          <w:szCs w:val="32"/>
        </w:rPr>
      </w:pPr>
      <w:r>
        <w:rPr>
          <w:rFonts w:hint="eastAsia" w:ascii="方正小标宋_GBK" w:hAnsi="方正小标宋_GBK" w:eastAsia="方正小标宋_GBK" w:cs="方正小标宋_GBK"/>
          <w:sz w:val="40"/>
          <w:szCs w:val="40"/>
        </w:rPr>
        <w:t>【000117126003】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由于工程施工、设备维修等原因确需停止供水的审批【00011712600Y】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由于工程施工、设备维修等原因确需停止供水的审批（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级权限）【000117126003】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由于工程施工、设备维修等原因确需停止供水的审批（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级权限）(00011712600301)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（2）《城市供水条例》  (中华人民共和国国务院令第158号，根据2020年3月27日《国务院关于修改和废止部分行政法规的决定》第二次修订)第三十三条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停止供水（气）、改（迁、拆）公共供水的审批,由于工程施工、设备维修等原因确需停止供水的审批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由于工程施工、设备维修等原因确需停止供水</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停水和恢复供水方案合理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应急预案真实可靠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企业法人,事业单位法人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精简许可条件和审批材料，优化审批流程，压减审批时限</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1.完善常态化监管机制，根据停水影响程度实施分级管理，对停水影响范围大、停水时间长的进行重点检查。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2.加强信息公开，要求城市自来水供水企业按规定提前24小时将停水情况通知用水单位和个人。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3.强化供水企业设施运行维护主体责任落实，加强停水管理，严格控制停水范围和停水时长，及时恢复正常供水，无法及时恢复的，应采取应急供水措施。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4.运用互联网和大数据技术，依托当地政务服务网上平台，实现动态监管。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5.拓宽公众参与监督的渠道和方式，发挥社会监督作用，鼓励用水单位和个人通过互联网、举报电话等方式参与监督。</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停水申请表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停水和恢复供水方案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应急预案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（1）《中华人民共和国行政许可法》第二十九条、第三十一条、第三十二条、第三十四条、第三十七条、第三十九条第二十九条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　行政机关对行政许可申请进行审查后，除当场作出行政许可决定的外，应当在法定期限内按照规定程序作出行政许可决定。 第三十八条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第一款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由于工程施工、设备维修等原因确需停止供水的审批批文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工程施工、设备维修等原因确需停止供水范围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二十二条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hAnsi="微软雅黑" w:eastAsia="仿宋_GB2312"/>
          <w:color w:val="000000" w:themeColor="text1"/>
          <w:sz w:val="32"/>
          <w:szCs w:val="32"/>
          <w:shd w:val="clear" w:color="auto" w:fill="FFFFFF"/>
          <w:lang w:val="en-US" w:eastAsia="zh-CN"/>
          <w14:textFill>
            <w14:solidFill>
              <w14:schemeClr w14:val="tx1"/>
            </w14:solidFill>
          </w14:textFill>
        </w:rPr>
        <w:t>无</w:t>
      </w:r>
      <w:r>
        <w:rPr>
          <w:rFonts w:hint="eastAsia" w:ascii="仿宋_GB2312" w:hAnsi="微软雅黑" w:eastAsia="仿宋_GB2312"/>
          <w:color w:val="000000" w:themeColor="text1"/>
          <w:sz w:val="32"/>
          <w:szCs w:val="32"/>
          <w:shd w:val="clear" w:color="auto" w:fill="FFFFFF"/>
          <w14:textFill>
            <w14:solidFill>
              <w14:schemeClr w14:val="tx1"/>
            </w14:solidFill>
          </w14:textFill>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B156991"/>
    <w:rsid w:val="23C5476D"/>
    <w:rsid w:val="30884262"/>
    <w:rsid w:val="31F9119D"/>
    <w:rsid w:val="3D1215F7"/>
    <w:rsid w:val="491B00D9"/>
    <w:rsid w:val="782F5060"/>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346</Words>
  <Characters>347</Characters>
  <Lines>9</Lines>
  <Paragraphs>2</Paragraphs>
  <TotalTime>0</TotalTime>
  <ScaleCrop>false</ScaleCrop>
  <LinksUpToDate>false</LinksUpToDate>
  <CharactersWithSpaces>350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2024-05-08T08:19:24Z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F7F0B65E903B466882836012359A44BF_13</vt:lpwstr>
  </property>
</Properties>
</file>