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70" w:lineRule="exact"/>
        <w:jc w:val="both"/>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Times New Roman" w:hAnsi="Times New Roman" w:eastAsia="方正小标宋简体"/>
          <w:sz w:val="44"/>
          <w:szCs w:val="44"/>
          <w:lang w:val="en-US" w:eastAsia="zh-CN"/>
        </w:rPr>
      </w:pPr>
      <w:r>
        <w:rPr>
          <w:rFonts w:hint="eastAsia" w:ascii="方正小标宋简体" w:hAnsi="Times New Roman" w:eastAsia="方正小标宋简体"/>
          <w:sz w:val="44"/>
          <w:szCs w:val="44"/>
          <w:lang w:val="en-US" w:eastAsia="zh-CN"/>
        </w:rPr>
        <w:t>城镇污水排入排水管网</w:t>
      </w:r>
      <w:r>
        <w:rPr>
          <w:rFonts w:hint="eastAsia" w:ascii="方正小标宋简体" w:hAnsi="Times New Roman" w:eastAsia="方正小标宋简体"/>
          <w:sz w:val="44"/>
          <w:szCs w:val="44"/>
        </w:rPr>
        <w:t>许可</w:t>
      </w:r>
      <w:r>
        <w:rPr>
          <w:rFonts w:hint="eastAsia" w:ascii="方正小标宋简体" w:hAnsi="Times New Roman" w:eastAsia="方正小标宋简体"/>
          <w:sz w:val="44"/>
          <w:szCs w:val="44"/>
          <w:lang w:eastAsia="zh-CN"/>
        </w:rPr>
        <w:t>首次申请</w:t>
      </w:r>
    </w:p>
    <w:p>
      <w:pPr>
        <w:autoSpaceDE w:val="0"/>
        <w:spacing w:line="570" w:lineRule="exact"/>
        <w:jc w:val="center"/>
        <w:rPr>
          <w:rFonts w:ascii="Times New Roman" w:hAnsi="Times New Roman" w:eastAsia="仿宋_GB2312"/>
          <w:sz w:val="32"/>
          <w:szCs w:val="32"/>
        </w:rPr>
      </w:pPr>
      <w:r>
        <w:rPr>
          <w:rFonts w:hint="eastAsia" w:ascii="方正小标宋_GBK" w:hAnsi="方正小标宋_GBK" w:eastAsia="方正小标宋_GBK" w:cs="方正小标宋_GBK"/>
          <w:sz w:val="40"/>
          <w:szCs w:val="40"/>
        </w:rPr>
        <w:t>【00011712300301】</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城镇污水排入排水管网许可【00011712300Y】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级权限）【000117123003】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级权限）首次申请(00011712300301)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》（中华人民共和国国务院令第641号）第二十一条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（2）《城镇污水排入排水管网许可管理办法》（2015年1月22日住房和城乡建设部令第21号发布，根据2022年12月1日住房和城乡建设部令第56号修正）第二条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（3）《云南省人民政府关于调整 112 项涉及州级及以下行政权力事项的决定》（云政发〔2020〕21 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》（中华人民共和国国务院令第641号）第五十条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（3）《城镇污水排入排水管网许可管理办法》（2015年1月22日住房和城乡建设部令第21号发布，根据2022年12月1日住房和城乡建设部令第56号修正）第四条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（4）《城镇污水排入排水管网许可管理办法》（2015年1月22日住房和城乡</w:t>
      </w:r>
      <w:bookmarkStart w:id="0" w:name="_GoBack"/>
      <w:bookmarkEnd w:id="0"/>
      <w:r>
        <w:rPr>
          <w:rFonts w:ascii="方正仿宋_GBK" w:hAnsi="方正仿宋_GBK" w:eastAsia="方正仿宋_GBK" w:cs="方正仿宋_GBK"/>
          <w:sz w:val="28"/>
          <w:szCs w:val="28"/>
        </w:rPr>
        <w:t>建设部令第21号发布，根据2022年12月1日住房和城乡建设部令第56号修正）第二十七条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（5）《城镇污水排入排水管网许可管理办法》（2015年1月22日住房和城乡建设部令第21号发布，根据2022年12月1日住房和城乡建设部令第56号修正）第二十八条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（6）《城镇污水排入排水管网许可管理办法》（2015年1月22日住房和城乡建设部令第21号发布，根据2022年12月1日住房和城乡建设部令第56号修正）第十八条　</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城镇污水排入排水管网许可</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污水排放口的设置符合城镇排水与污水处理规划的要求；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排放污水的水质符合国家或者地方规定的有关排放标准；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按照国家有关规定建设相应的预处理设施；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按照国家有关规定在排放口设置便于采样和水量计量的专用检测井和计量设备；列入重点排污单位名录的排水户已安装主要水污染物排放自动监测设备；</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》（中华人民共和国国务院令第641号）第二十二条排水户申请领取污水排入排水管网许可证应当具备下列条件：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（二）按照国家有关规定建设相应的预处理设施和水质、水量检测设施；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（三）排放的污水符合国家或者地方规定的有关排放标准；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符合前款规定条件的，由城镇排水主管部门核发污水排入排水管网许可证；具体办法由国务院住房城乡建设主管部门制定。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（2）《城镇污水排入排水管网许可管理办法》（2015年1月22日住房和城乡建设部令第21号发布，根据2022年12月1日住房和城乡建设部令第56号修正）第九条符合以下条件的，由城镇排水主管部门核发排水许可证：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（一）污水排放口的设置符合城镇排水与污水处理规划的要求；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（二）排放污水的水质符合国家或者地方规定的有关排放标准；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（三）按照国家有关规定建设相应的预处理设施；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（四）按照国家有关规定在排放口设置便于采样和水量计量的专用检测井和计量设备；列入重点排污单位名录的排水户已安装主要水污染物排放自动监测设备；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（五）法律、法规规定的其他条件。</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实施排水户分级分类管理，简化许可程序，推行告知承诺制办理，压缩审批时限</w:t>
      </w:r>
      <w:r>
        <w:rPr>
          <w:rFonts w:hint="eastAsia" w:ascii="方正仿宋_GBK" w:hAnsi="方正仿宋_GBK" w:eastAsia="方正仿宋_GBK" w:cs="方正仿宋_GBK"/>
          <w:sz w:val="28"/>
          <w:szCs w:val="28"/>
        </w:rPr>
        <w:t>，将承诺审批时限由15个工作日压减至3个工作日。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推行“双随机、一公开”方式，对排水户排放污水的情况实施监管检查；按照排水户分级分类管理要求，在作出许可决定前，对重点排水户进行现场核查，对其他排水户采取抽查方式进行现场核查，事后提高对重点排水户的检查比例和频次；加强信息公开，向社会公示排水户的排水许可内容、行政处罚、不良信用记录等信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排水户内部排水管网、专用检测井、雨污水排放口位置和口径的图纸及说明等材料；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按照国家有关规定建设污水预处理设施的有关材料；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排水隐蔽工程竣工报告，或者排水户承诺排水隐蔽工程合格且不存在雨水污水管网混接错接、雨水污水混排的书面承诺书；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排水水质符合相关标准的检测报告或者排水水质符合相关标准的书面承诺书；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列入重点排污单位名录的排水户应当提供已安装的主要水污染物排放自动监测设备有关材料；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（1）《城镇污水排入排水管网许可管理办法》（2015年1月22日住房和城乡建设部令第21号发布，根据2022年12月1日住房和城乡建设部令第56号修正）第七条申请领取排水许可证，应当如实提交下列材料：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（一）排水许可申请表；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（二）排水户内部排水管网、专用检测井、雨污水排放口位置和口径的图纸及说明等材料；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（三）按照国家有关规定建设污水预处理设施的有关材料；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（四）排水隐蔽工程竣工报告，或者排水户承诺排水隐蔽工程合格且不存在雨水污水管网混接错接、雨水污水混排的书面承诺书；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（五）排水水质符合相关标准的检测报告或者排水水质符合相关标准的书面承诺书；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（六）列入重点排污单位名录的排水户应当提供已安装的主要水污染物排放自动监测设备有关材料。</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委托服务机构开展技术性服务（部分情况下开展）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（1）《中华人民共和国行政许可法》第二十九条、第三十一条、第三十二条、第三十四条、第三十七条、第三十九条第二十九条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15</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六条排水户向排水行为发生地的城镇排水主管部门申请领取排水许可证。城镇排水主管部门应当自受理申请之日起15日内作出决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城镇污水排入排水管网许可证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5年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（1）《城镇污水排入排水管网许可管理办法》（2015年1月22日住房和城乡建设部令第21号发布，根据2022年12月1日住房和城乡建设部令第56号修正）第十条排水许可证的有效期为5年。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因施工作业需要向城镇排水设施排水的，排水许可证的有效期，由城镇排水主管部门根据排水状况确定，但不得超过施工期限。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在排水许可证的有效期内，排水口数量和位置、排水量、主要污染物项目或者浓度等排水许可内容变更的，应当重新申请领取排水许可证。排水户名称、法定代表人等其他事项变更的，应当在变更之日起30日内向城镇排水主管部门申请办理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排水许可证有效期满需要继续排放污水的，排水户应当在有效期届满30日前，向城镇排水主管部门提出申请。城镇排水主管部门应当在有效期届满前作出是否准予延续的决定。准予延续的，有效期延续5年。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排水户在排水许可证有效期内，严格按照许可内容排放污水，且未发生违反本办法规定行为的，有效期届满30日前，排水户可提出延期申请，经原许可机关同意，不再进行审查，排水许可证有效期延期5年。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许可排水接入的范围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（1）《城镇污水排入排水管网许可管理办法》（2015年1月22日住房和城乡建设部令第21号发布，根据2022年12月1日住房和城乡建设部令第56号修正）第九条符合以下条件的，由城镇排水主管部门核发排水许可证：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（一）污水排放口的设置符合城镇排水与污水处理规划的要求；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（二）排放污水的水质符合国家或者地方规定的有关排放标准；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（三）按照国家有关规定建设相应的预处理设施；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（四）按照国家有关规定在排放口设置便于采样和水量计量的专用检测井和计量设备；列入重点排污单位名录的排水户已安装主要水污染物排放自动监测设备；</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（五）法律、法规规定的其他条件。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eastAsia" w:ascii="仿宋_GB2312"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127001F4"/>
    <w:rsid w:val="30884262"/>
    <w:rsid w:val="32F15D13"/>
    <w:rsid w:val="360A7E6D"/>
    <w:rsid w:val="4F28090C"/>
    <w:rsid w:val="52B57B72"/>
    <w:rsid w:val="6B000B4C"/>
    <w:rsid w:val="6E0B6F08"/>
    <w:rsid w:val="782F5060"/>
    <w:rsid w:val="7F0B17A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5180</Words>
  <Characters>5434</Characters>
  <Lines>9</Lines>
  <Paragraphs>2</Paragraphs>
  <ScaleCrop>false</ScaleCrop>
  <LinksUpToDate>false</LinksUpToDate>
  <CharactersWithSpaces>5445</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2025-04-01T01:24:00Z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D239820E4ED4475C9ACD2A0AF2C9CDFE_13</vt:lpwstr>
  </property>
</Properties>
</file>