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92" w:lineRule="exact"/>
        <w:ind w:left="420" w:leftChars="200" w:right="420" w:rightChars="200"/>
        <w:rPr>
          <w:rFonts w:ascii="Times New Roman" w:hAnsi="Times New Roman" w:eastAsia="楷体_GB2312" w:cs="Times New Roman"/>
          <w:snapToGrid w:val="0"/>
          <w:color w:val="000000"/>
          <w:kern w:val="32"/>
          <w:sz w:val="32"/>
          <w:szCs w:val="32"/>
        </w:rPr>
      </w:pPr>
    </w:p>
    <w:p>
      <w:pPr>
        <w:topLinePunct/>
        <w:adjustRightInd w:val="0"/>
        <w:snapToGrid w:val="0"/>
        <w:spacing w:line="592" w:lineRule="exact"/>
        <w:ind w:left="420" w:leftChars="200" w:right="420" w:rightChars="200"/>
        <w:rPr>
          <w:rFonts w:ascii="Times New Roman" w:hAnsi="Times New Roman" w:eastAsia="楷体_GB2312" w:cs="Times New Roman"/>
          <w:snapToGrid w:val="0"/>
          <w:color w:val="000000"/>
          <w:kern w:val="32"/>
          <w:sz w:val="32"/>
          <w:szCs w:val="32"/>
        </w:rPr>
      </w:pPr>
    </w:p>
    <w:p>
      <w:pPr>
        <w:topLinePunct/>
        <w:adjustRightInd w:val="0"/>
        <w:snapToGrid w:val="0"/>
        <w:spacing w:line="592" w:lineRule="exact"/>
        <w:jc w:val="center"/>
        <w:rPr>
          <w:rFonts w:ascii="Times New Roman" w:hAnsi="Times New Roman" w:eastAsia="宋体" w:cs="Times New Roman"/>
          <w:snapToGrid w:val="0"/>
          <w:color w:val="000000"/>
          <w:sz w:val="44"/>
          <w:szCs w:val="44"/>
        </w:rPr>
      </w:pPr>
      <w:bookmarkStart w:id="0" w:name="_GoBack"/>
      <w:r>
        <w:rPr>
          <w:rFonts w:hint="eastAsia" w:ascii="Times New Roman" w:hAnsi="Times New Roman" w:eastAsia="宋体" w:cs="宋体"/>
          <w:snapToGrid w:val="0"/>
          <w:color w:val="000000"/>
          <w:sz w:val="44"/>
          <w:szCs w:val="44"/>
        </w:rPr>
        <w:t>临沧市城市绿化管理条例</w:t>
      </w:r>
    </w:p>
    <w:p>
      <w:pPr>
        <w:topLinePunct/>
        <w:adjustRightInd w:val="0"/>
        <w:snapToGrid w:val="0"/>
        <w:spacing w:line="592" w:lineRule="exact"/>
        <w:jc w:val="center"/>
        <w:rPr>
          <w:rFonts w:ascii="Times New Roman" w:hAnsi="Times New Roman" w:eastAsia="宋体" w:cs="Times New Roman"/>
          <w:snapToGrid w:val="0"/>
          <w:color w:val="000000"/>
          <w:sz w:val="44"/>
          <w:szCs w:val="44"/>
        </w:rPr>
      </w:pPr>
    </w:p>
    <w:p>
      <w:pPr>
        <w:topLinePunct/>
        <w:adjustRightInd w:val="0"/>
        <w:snapToGrid w:val="0"/>
        <w:spacing w:line="592" w:lineRule="exact"/>
        <w:ind w:left="420" w:leftChars="200" w:right="420" w:rightChars="200"/>
        <w:rPr>
          <w:rFonts w:ascii="Times New Roman" w:hAnsi="Times New Roman" w:eastAsia="楷体_GB2312" w:cs="Times New Roman"/>
          <w:snapToGrid w:val="0"/>
          <w:color w:val="000000"/>
          <w:sz w:val="32"/>
          <w:szCs w:val="32"/>
        </w:rPr>
      </w:pPr>
      <w:r>
        <w:rPr>
          <w:rFonts w:hint="eastAsia" w:ascii="Times New Roman" w:hAnsi="Times New Roman" w:eastAsia="楷体_GB2312" w:cs="楷体_GB2312"/>
          <w:snapToGrid w:val="0"/>
          <w:color w:val="000000"/>
          <w:sz w:val="32"/>
          <w:szCs w:val="32"/>
        </w:rPr>
        <w:t>（</w:t>
      </w:r>
      <w:r>
        <w:rPr>
          <w:rFonts w:ascii="Times New Roman" w:hAnsi="Times New Roman" w:eastAsia="楷体_GB2312" w:cs="Times New Roman"/>
          <w:snapToGrid w:val="0"/>
          <w:color w:val="000000"/>
          <w:sz w:val="32"/>
          <w:szCs w:val="32"/>
        </w:rPr>
        <w:t>2019</w:t>
      </w:r>
      <w:r>
        <w:rPr>
          <w:rFonts w:hint="eastAsia" w:ascii="Times New Roman" w:hAnsi="Times New Roman" w:eastAsia="楷体_GB2312" w:cs="楷体_GB2312"/>
          <w:snapToGrid w:val="0"/>
          <w:color w:val="000000"/>
          <w:sz w:val="32"/>
          <w:szCs w:val="32"/>
        </w:rPr>
        <w:t>年</w:t>
      </w:r>
      <w:r>
        <w:rPr>
          <w:rFonts w:ascii="Times New Roman" w:hAnsi="Times New Roman" w:eastAsia="楷体_GB2312" w:cs="Times New Roman"/>
          <w:snapToGrid w:val="0"/>
          <w:color w:val="000000"/>
          <w:sz w:val="32"/>
          <w:szCs w:val="32"/>
        </w:rPr>
        <w:t>8</w:t>
      </w:r>
      <w:r>
        <w:rPr>
          <w:rFonts w:hint="eastAsia" w:ascii="Times New Roman" w:hAnsi="Times New Roman" w:eastAsia="楷体_GB2312" w:cs="楷体_GB2312"/>
          <w:snapToGrid w:val="0"/>
          <w:color w:val="000000"/>
          <w:sz w:val="32"/>
          <w:szCs w:val="32"/>
        </w:rPr>
        <w:t>月</w:t>
      </w:r>
      <w:r>
        <w:rPr>
          <w:rFonts w:ascii="Times New Roman" w:hAnsi="Times New Roman" w:eastAsia="楷体_GB2312" w:cs="Times New Roman"/>
          <w:snapToGrid w:val="0"/>
          <w:color w:val="000000"/>
          <w:sz w:val="32"/>
          <w:szCs w:val="32"/>
        </w:rPr>
        <w:t>26</w:t>
      </w:r>
      <w:r>
        <w:rPr>
          <w:rFonts w:hint="eastAsia" w:ascii="Times New Roman" w:hAnsi="Times New Roman" w:eastAsia="楷体_GB2312" w:cs="楷体_GB2312"/>
          <w:snapToGrid w:val="0"/>
          <w:color w:val="000000"/>
          <w:sz w:val="32"/>
          <w:szCs w:val="32"/>
        </w:rPr>
        <w:t>日临沧市第四届人民代表大会常务委员会第十三次会议通过</w:t>
      </w:r>
      <w:r>
        <w:rPr>
          <w:rFonts w:ascii="Times New Roman" w:hAnsi="Times New Roman" w:eastAsia="楷体_GB2312" w:cs="Times New Roman"/>
          <w:snapToGrid w:val="0"/>
          <w:color w:val="000000"/>
          <w:sz w:val="32"/>
          <w:szCs w:val="32"/>
        </w:rPr>
        <w:t xml:space="preserve">  2019</w:t>
      </w:r>
      <w:r>
        <w:rPr>
          <w:rFonts w:hint="eastAsia" w:ascii="Times New Roman" w:hAnsi="Times New Roman" w:eastAsia="楷体_GB2312" w:cs="楷体_GB2312"/>
          <w:snapToGrid w:val="0"/>
          <w:color w:val="000000"/>
          <w:sz w:val="32"/>
          <w:szCs w:val="32"/>
        </w:rPr>
        <w:t>年</w:t>
      </w:r>
      <w:r>
        <w:rPr>
          <w:rFonts w:ascii="Times New Roman" w:hAnsi="Times New Roman" w:eastAsia="楷体_GB2312" w:cs="Times New Roman"/>
          <w:snapToGrid w:val="0"/>
          <w:color w:val="000000"/>
          <w:sz w:val="32"/>
          <w:szCs w:val="32"/>
        </w:rPr>
        <w:t>9</w:t>
      </w:r>
      <w:r>
        <w:rPr>
          <w:rFonts w:hint="eastAsia" w:ascii="Times New Roman" w:hAnsi="Times New Roman" w:eastAsia="楷体_GB2312" w:cs="楷体_GB2312"/>
          <w:snapToGrid w:val="0"/>
          <w:color w:val="000000"/>
          <w:sz w:val="32"/>
          <w:szCs w:val="32"/>
        </w:rPr>
        <w:t>月</w:t>
      </w:r>
      <w:r>
        <w:rPr>
          <w:rFonts w:ascii="Times New Roman" w:hAnsi="Times New Roman" w:eastAsia="楷体_GB2312" w:cs="Times New Roman"/>
          <w:snapToGrid w:val="0"/>
          <w:color w:val="000000"/>
          <w:sz w:val="32"/>
          <w:szCs w:val="32"/>
        </w:rPr>
        <w:t>28</w:t>
      </w:r>
      <w:r>
        <w:rPr>
          <w:rFonts w:hint="eastAsia" w:ascii="Times New Roman" w:hAnsi="Times New Roman" w:eastAsia="楷体_GB2312" w:cs="楷体_GB2312"/>
          <w:snapToGrid w:val="0"/>
          <w:color w:val="000000"/>
          <w:sz w:val="32"/>
          <w:szCs w:val="32"/>
        </w:rPr>
        <w:t>日云南省第十三届人民代表大会常务委员会第十三次会议批准）</w:t>
      </w:r>
    </w:p>
    <w:p>
      <w:pPr>
        <w:topLinePunct/>
        <w:adjustRightInd w:val="0"/>
        <w:snapToGrid w:val="0"/>
        <w:spacing w:line="592" w:lineRule="exact"/>
        <w:rPr>
          <w:rFonts w:ascii="Times New Roman" w:hAnsi="Times New Roman" w:eastAsia="仿宋_GB2312" w:cs="Times New Roman"/>
          <w:snapToGrid w:val="0"/>
          <w:color w:val="000000"/>
          <w:sz w:val="32"/>
          <w:szCs w:val="32"/>
        </w:rPr>
      </w:pPr>
    </w:p>
    <w:p>
      <w:pPr>
        <w:topLinePunct/>
        <w:adjustRightInd w:val="0"/>
        <w:snapToGrid w:val="0"/>
        <w:spacing w:line="592" w:lineRule="exact"/>
        <w:jc w:val="center"/>
        <w:rPr>
          <w:rFonts w:ascii="Times New Roman" w:hAnsi="Times New Roman" w:eastAsia="楷体_GB2312" w:cs="Times New Roman"/>
          <w:snapToGrid w:val="0"/>
          <w:color w:val="000000"/>
          <w:sz w:val="32"/>
          <w:szCs w:val="32"/>
        </w:rPr>
      </w:pPr>
      <w:r>
        <w:rPr>
          <w:rFonts w:hint="eastAsia" w:ascii="Times New Roman" w:hAnsi="Times New Roman" w:eastAsia="楷体_GB2312" w:cs="楷体_GB2312"/>
          <w:snapToGrid w:val="0"/>
          <w:color w:val="000000"/>
          <w:sz w:val="32"/>
          <w:szCs w:val="32"/>
        </w:rPr>
        <w:t>目</w:t>
      </w:r>
      <w:r>
        <w:rPr>
          <w:rFonts w:ascii="Times New Roman" w:hAnsi="Times New Roman" w:eastAsia="楷体_GB2312" w:cs="Times New Roman"/>
          <w:snapToGrid w:val="0"/>
          <w:color w:val="000000"/>
          <w:sz w:val="32"/>
          <w:szCs w:val="32"/>
        </w:rPr>
        <w:t xml:space="preserve">  </w:t>
      </w:r>
      <w:r>
        <w:rPr>
          <w:rFonts w:hint="eastAsia" w:ascii="Times New Roman" w:hAnsi="Times New Roman" w:eastAsia="楷体_GB2312" w:cs="楷体_GB2312"/>
          <w:snapToGrid w:val="0"/>
          <w:color w:val="000000"/>
          <w:sz w:val="32"/>
          <w:szCs w:val="32"/>
        </w:rPr>
        <w:t>录</w:t>
      </w:r>
    </w:p>
    <w:p>
      <w:pPr>
        <w:topLinePunct/>
        <w:adjustRightInd w:val="0"/>
        <w:snapToGrid w:val="0"/>
        <w:spacing w:line="592" w:lineRule="exact"/>
        <w:rPr>
          <w:rFonts w:ascii="Times New Roman" w:hAnsi="Times New Roman" w:eastAsia="楷体_GB2312" w:cs="Times New Roman"/>
          <w:snapToGrid w:val="0"/>
          <w:color w:val="000000"/>
          <w:sz w:val="32"/>
          <w:szCs w:val="32"/>
        </w:rPr>
      </w:pPr>
    </w:p>
    <w:p>
      <w:pPr>
        <w:topLinePunct/>
        <w:adjustRightInd w:val="0"/>
        <w:snapToGrid w:val="0"/>
        <w:spacing w:line="592" w:lineRule="exact"/>
        <w:ind w:firstLine="640" w:firstLineChars="200"/>
        <w:rPr>
          <w:rFonts w:ascii="Times New Roman" w:hAnsi="Times New Roman" w:eastAsia="楷体_GB2312" w:cs="Times New Roman"/>
          <w:snapToGrid w:val="0"/>
          <w:color w:val="000000"/>
          <w:sz w:val="32"/>
          <w:szCs w:val="32"/>
        </w:rPr>
      </w:pPr>
      <w:r>
        <w:rPr>
          <w:rFonts w:hint="eastAsia" w:ascii="Times New Roman" w:hAnsi="Times New Roman" w:eastAsia="楷体_GB2312" w:cs="楷体_GB2312"/>
          <w:snapToGrid w:val="0"/>
          <w:color w:val="000000"/>
          <w:sz w:val="32"/>
          <w:szCs w:val="32"/>
        </w:rPr>
        <w:t>第一章</w:t>
      </w:r>
      <w:r>
        <w:rPr>
          <w:rFonts w:ascii="Times New Roman" w:hAnsi="Times New Roman" w:eastAsia="楷体_GB2312" w:cs="Times New Roman"/>
          <w:snapToGrid w:val="0"/>
          <w:color w:val="000000"/>
          <w:sz w:val="32"/>
          <w:szCs w:val="32"/>
        </w:rPr>
        <w:t xml:space="preserve">  </w:t>
      </w:r>
      <w:r>
        <w:rPr>
          <w:rFonts w:hint="eastAsia" w:ascii="Times New Roman" w:hAnsi="Times New Roman" w:eastAsia="楷体_GB2312" w:cs="楷体_GB2312"/>
          <w:snapToGrid w:val="0"/>
          <w:color w:val="000000"/>
          <w:sz w:val="32"/>
          <w:szCs w:val="32"/>
        </w:rPr>
        <w:t>总</w:t>
      </w:r>
      <w:r>
        <w:rPr>
          <w:rFonts w:ascii="Times New Roman" w:hAnsi="Times New Roman" w:eastAsia="楷体_GB2312" w:cs="Times New Roman"/>
          <w:snapToGrid w:val="0"/>
          <w:color w:val="000000"/>
          <w:sz w:val="32"/>
          <w:szCs w:val="32"/>
        </w:rPr>
        <w:t xml:space="preserve">  </w:t>
      </w:r>
      <w:r>
        <w:rPr>
          <w:rFonts w:hint="eastAsia" w:ascii="Times New Roman" w:hAnsi="Times New Roman" w:eastAsia="楷体_GB2312" w:cs="楷体_GB2312"/>
          <w:snapToGrid w:val="0"/>
          <w:color w:val="000000"/>
          <w:sz w:val="32"/>
          <w:szCs w:val="32"/>
        </w:rPr>
        <w:t>则</w:t>
      </w:r>
    </w:p>
    <w:p>
      <w:pPr>
        <w:topLinePunct/>
        <w:adjustRightInd w:val="0"/>
        <w:snapToGrid w:val="0"/>
        <w:spacing w:line="592" w:lineRule="exact"/>
        <w:ind w:firstLine="640" w:firstLineChars="200"/>
        <w:rPr>
          <w:rFonts w:ascii="Times New Roman" w:hAnsi="Times New Roman" w:eastAsia="楷体_GB2312" w:cs="Times New Roman"/>
          <w:snapToGrid w:val="0"/>
          <w:color w:val="000000"/>
          <w:sz w:val="32"/>
          <w:szCs w:val="32"/>
        </w:rPr>
      </w:pPr>
      <w:r>
        <w:rPr>
          <w:rFonts w:hint="eastAsia" w:ascii="Times New Roman" w:hAnsi="Times New Roman" w:eastAsia="楷体_GB2312" w:cs="楷体_GB2312"/>
          <w:snapToGrid w:val="0"/>
          <w:color w:val="000000"/>
          <w:sz w:val="32"/>
          <w:szCs w:val="32"/>
        </w:rPr>
        <w:t>第二章</w:t>
      </w:r>
      <w:r>
        <w:rPr>
          <w:rFonts w:ascii="Times New Roman" w:hAnsi="Times New Roman" w:eastAsia="楷体_GB2312" w:cs="Times New Roman"/>
          <w:snapToGrid w:val="0"/>
          <w:color w:val="000000"/>
          <w:sz w:val="32"/>
          <w:szCs w:val="32"/>
        </w:rPr>
        <w:t xml:space="preserve">  </w:t>
      </w:r>
      <w:r>
        <w:rPr>
          <w:rFonts w:hint="eastAsia" w:ascii="Times New Roman" w:hAnsi="Times New Roman" w:eastAsia="楷体_GB2312" w:cs="楷体_GB2312"/>
          <w:snapToGrid w:val="0"/>
          <w:color w:val="000000"/>
          <w:sz w:val="32"/>
          <w:szCs w:val="32"/>
        </w:rPr>
        <w:t>规划和建设</w:t>
      </w:r>
    </w:p>
    <w:p>
      <w:pPr>
        <w:topLinePunct/>
        <w:adjustRightInd w:val="0"/>
        <w:snapToGrid w:val="0"/>
        <w:spacing w:line="592" w:lineRule="exact"/>
        <w:ind w:firstLine="640" w:firstLineChars="200"/>
        <w:rPr>
          <w:rFonts w:ascii="Times New Roman" w:hAnsi="Times New Roman" w:eastAsia="楷体_GB2312" w:cs="Times New Roman"/>
          <w:snapToGrid w:val="0"/>
          <w:color w:val="000000"/>
          <w:sz w:val="32"/>
          <w:szCs w:val="32"/>
        </w:rPr>
      </w:pPr>
      <w:r>
        <w:rPr>
          <w:rFonts w:hint="eastAsia" w:ascii="Times New Roman" w:hAnsi="Times New Roman" w:eastAsia="楷体_GB2312" w:cs="楷体_GB2312"/>
          <w:snapToGrid w:val="0"/>
          <w:color w:val="000000"/>
          <w:sz w:val="32"/>
          <w:szCs w:val="32"/>
        </w:rPr>
        <w:t>第三章</w:t>
      </w:r>
      <w:r>
        <w:rPr>
          <w:rFonts w:ascii="Times New Roman" w:hAnsi="Times New Roman" w:eastAsia="楷体_GB2312" w:cs="Times New Roman"/>
          <w:snapToGrid w:val="0"/>
          <w:color w:val="000000"/>
          <w:sz w:val="32"/>
          <w:szCs w:val="32"/>
        </w:rPr>
        <w:t xml:space="preserve">  </w:t>
      </w:r>
      <w:r>
        <w:rPr>
          <w:rFonts w:hint="eastAsia" w:ascii="Times New Roman" w:hAnsi="Times New Roman" w:eastAsia="楷体_GB2312" w:cs="楷体_GB2312"/>
          <w:snapToGrid w:val="0"/>
          <w:color w:val="000000"/>
          <w:sz w:val="32"/>
          <w:szCs w:val="32"/>
        </w:rPr>
        <w:t>保护和管理</w:t>
      </w:r>
    </w:p>
    <w:p>
      <w:pPr>
        <w:topLinePunct/>
        <w:adjustRightInd w:val="0"/>
        <w:snapToGrid w:val="0"/>
        <w:spacing w:line="592" w:lineRule="exact"/>
        <w:ind w:firstLine="640" w:firstLineChars="200"/>
        <w:rPr>
          <w:rFonts w:ascii="Times New Roman" w:hAnsi="Times New Roman" w:eastAsia="楷体_GB2312" w:cs="Times New Roman"/>
          <w:snapToGrid w:val="0"/>
          <w:color w:val="000000"/>
          <w:sz w:val="32"/>
          <w:szCs w:val="32"/>
        </w:rPr>
      </w:pPr>
      <w:r>
        <w:rPr>
          <w:rFonts w:hint="eastAsia" w:ascii="Times New Roman" w:hAnsi="Times New Roman" w:eastAsia="楷体_GB2312" w:cs="楷体_GB2312"/>
          <w:snapToGrid w:val="0"/>
          <w:color w:val="000000"/>
          <w:sz w:val="32"/>
          <w:szCs w:val="32"/>
        </w:rPr>
        <w:t>第四章</w:t>
      </w:r>
      <w:r>
        <w:rPr>
          <w:rFonts w:ascii="Times New Roman" w:hAnsi="Times New Roman" w:eastAsia="楷体_GB2312" w:cs="Times New Roman"/>
          <w:snapToGrid w:val="0"/>
          <w:color w:val="000000"/>
          <w:sz w:val="32"/>
          <w:szCs w:val="32"/>
        </w:rPr>
        <w:t xml:space="preserve">  </w:t>
      </w:r>
      <w:r>
        <w:rPr>
          <w:rFonts w:hint="eastAsia" w:ascii="Times New Roman" w:hAnsi="Times New Roman" w:eastAsia="楷体_GB2312" w:cs="楷体_GB2312"/>
          <w:snapToGrid w:val="0"/>
          <w:color w:val="000000"/>
          <w:sz w:val="32"/>
          <w:szCs w:val="32"/>
        </w:rPr>
        <w:t>法律责任</w:t>
      </w:r>
    </w:p>
    <w:p>
      <w:pPr>
        <w:topLinePunct/>
        <w:adjustRightInd w:val="0"/>
        <w:snapToGrid w:val="0"/>
        <w:spacing w:line="592" w:lineRule="exact"/>
        <w:ind w:firstLine="640" w:firstLineChars="200"/>
        <w:rPr>
          <w:rFonts w:ascii="Times New Roman" w:hAnsi="Times New Roman" w:eastAsia="楷体_GB2312" w:cs="Times New Roman"/>
          <w:snapToGrid w:val="0"/>
          <w:color w:val="000000"/>
          <w:sz w:val="32"/>
          <w:szCs w:val="32"/>
        </w:rPr>
      </w:pPr>
      <w:r>
        <w:rPr>
          <w:rFonts w:hint="eastAsia" w:ascii="Times New Roman" w:hAnsi="Times New Roman" w:eastAsia="楷体_GB2312" w:cs="楷体_GB2312"/>
          <w:snapToGrid w:val="0"/>
          <w:color w:val="000000"/>
          <w:sz w:val="32"/>
          <w:szCs w:val="32"/>
        </w:rPr>
        <w:t>第五章</w:t>
      </w:r>
      <w:r>
        <w:rPr>
          <w:rFonts w:ascii="Times New Roman" w:hAnsi="Times New Roman" w:eastAsia="楷体_GB2312" w:cs="Times New Roman"/>
          <w:snapToGrid w:val="0"/>
          <w:color w:val="000000"/>
          <w:sz w:val="32"/>
          <w:szCs w:val="32"/>
        </w:rPr>
        <w:t xml:space="preserve">  </w:t>
      </w:r>
      <w:r>
        <w:rPr>
          <w:rFonts w:hint="eastAsia" w:ascii="Times New Roman" w:hAnsi="Times New Roman" w:eastAsia="楷体_GB2312" w:cs="楷体_GB2312"/>
          <w:snapToGrid w:val="0"/>
          <w:color w:val="000000"/>
          <w:sz w:val="32"/>
          <w:szCs w:val="32"/>
        </w:rPr>
        <w:t>附</w:t>
      </w:r>
      <w:r>
        <w:rPr>
          <w:rFonts w:ascii="Times New Roman" w:hAnsi="Times New Roman" w:eastAsia="楷体_GB2312" w:cs="Times New Roman"/>
          <w:snapToGrid w:val="0"/>
          <w:color w:val="000000"/>
          <w:sz w:val="32"/>
          <w:szCs w:val="32"/>
        </w:rPr>
        <w:t xml:space="preserve">  </w:t>
      </w:r>
      <w:r>
        <w:rPr>
          <w:rFonts w:hint="eastAsia" w:ascii="Times New Roman" w:hAnsi="Times New Roman" w:eastAsia="楷体_GB2312" w:cs="楷体_GB2312"/>
          <w:snapToGrid w:val="0"/>
          <w:color w:val="000000"/>
          <w:sz w:val="32"/>
          <w:szCs w:val="32"/>
        </w:rPr>
        <w:t>则</w:t>
      </w:r>
    </w:p>
    <w:p>
      <w:pPr>
        <w:topLinePunct/>
        <w:adjustRightInd w:val="0"/>
        <w:snapToGrid w:val="0"/>
        <w:spacing w:line="592" w:lineRule="exact"/>
        <w:rPr>
          <w:rFonts w:ascii="Times New Roman" w:hAnsi="Times New Roman" w:eastAsia="仿宋_GB2312" w:cs="Times New Roman"/>
          <w:snapToGrid w:val="0"/>
          <w:color w:val="000000"/>
          <w:sz w:val="32"/>
          <w:szCs w:val="32"/>
        </w:rPr>
      </w:pPr>
    </w:p>
    <w:p>
      <w:pPr>
        <w:topLinePunct/>
        <w:adjustRightInd w:val="0"/>
        <w:snapToGrid w:val="0"/>
        <w:spacing w:line="592" w:lineRule="exact"/>
        <w:jc w:val="center"/>
        <w:rPr>
          <w:rFonts w:ascii="Times New Roman" w:hAnsi="Times New Roman" w:eastAsia="黑体" w:cs="Times New Roman"/>
          <w:snapToGrid w:val="0"/>
          <w:color w:val="000000"/>
          <w:sz w:val="32"/>
          <w:szCs w:val="32"/>
        </w:rPr>
      </w:pPr>
      <w:r>
        <w:rPr>
          <w:rFonts w:hint="eastAsia" w:ascii="Times New Roman" w:hAnsi="Times New Roman" w:eastAsia="黑体" w:cs="黑体"/>
          <w:snapToGrid w:val="0"/>
          <w:color w:val="000000"/>
          <w:sz w:val="32"/>
          <w:szCs w:val="32"/>
        </w:rPr>
        <w:t>第一章</w:t>
      </w:r>
      <w:r>
        <w:rPr>
          <w:rFonts w:ascii="Times New Roman" w:hAnsi="Times New Roman" w:eastAsia="黑体" w:cs="Times New Roman"/>
          <w:snapToGrid w:val="0"/>
          <w:color w:val="000000"/>
          <w:sz w:val="32"/>
          <w:szCs w:val="32"/>
        </w:rPr>
        <w:t xml:space="preserve">  </w:t>
      </w:r>
      <w:r>
        <w:rPr>
          <w:rFonts w:hint="eastAsia" w:ascii="Times New Roman" w:hAnsi="Times New Roman" w:eastAsia="黑体" w:cs="黑体"/>
          <w:snapToGrid w:val="0"/>
          <w:color w:val="000000"/>
          <w:sz w:val="32"/>
          <w:szCs w:val="32"/>
        </w:rPr>
        <w:t>总</w:t>
      </w:r>
      <w:r>
        <w:rPr>
          <w:rFonts w:ascii="Times New Roman" w:hAnsi="Times New Roman" w:eastAsia="黑体" w:cs="Times New Roman"/>
          <w:snapToGrid w:val="0"/>
          <w:color w:val="000000"/>
          <w:sz w:val="32"/>
          <w:szCs w:val="32"/>
        </w:rPr>
        <w:t xml:space="preserve">  </w:t>
      </w:r>
      <w:r>
        <w:rPr>
          <w:rFonts w:hint="eastAsia" w:ascii="Times New Roman" w:hAnsi="Times New Roman" w:eastAsia="黑体" w:cs="黑体"/>
          <w:snapToGrid w:val="0"/>
          <w:color w:val="000000"/>
          <w:sz w:val="32"/>
          <w:szCs w:val="32"/>
        </w:rPr>
        <w:t>则</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第一条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为了保护和改善城市生态环境，建设生态宜居美丽临沧，根据《中华人民共和国城乡规划法》、国务院《城市绿化条例》等有关法律法规，结合本市实际，制定本条例。</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第二条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本市城市规划区内绿化的规划、建设、保护和管理适用本条例。</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城市规划区以外的乡镇规划区和各类园区的绿化工作参照本条例执行。</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第三条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城市绿化坚持生态优先、因地制宜、科学规划、建管并重、突出特色、公众参与的原则。</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第四条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市、县（区）人民政府统一领导本行政区域内城市绿化工作，将城市绿化纳入国民经济和社会发展规划，保障绿化用地供应和公共绿地建设管护经费，促进城市绿化事业可持续发展。</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第五条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市、县（区）城市绿化行政主管部门负责城市绿化工作。</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市城市绿化行政主管部门履行下列职责：</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（一）执行城市绿化的法律法规和规章，完善相关制度并监督实施；</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（二）拟订城市绿化发展规划，制定城市绿化养护管理标准；</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（三）组织开展城市绿化科学研究与创新；</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（四）指导、督促、检查全市城市规划区内的绿化工作；</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（五）法律法规和规章规定的其他绿化管理职责。</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县（区）城市绿化行政主管部门履行下列职责：</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（一）执行城市绿化的法律法规和规章、政策及相关行业规范；</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（二）负责城市绿化建设、保护和管理工作；</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（三）负责绿化工程质量与安全监督；</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（四）建立城市绿化管理责任制；</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（五）建立绿化资源普查制度和绿化管理信息平台，完善有害生物防控体系；</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（六）执行绿化行业市场诚信管理制度；</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（七）培育、应用乡土树种及适生植物，推广节约型、生态型海绵城市绿化；</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（八）法律法规和规章规定的其他绿化管理职责。</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发展改革、公安、财政、自然资源规划、生态环境、交通运输、农业农村、水务、林业和草原、城市管理综合行政执法、公路管理等部门按照各自职责，共同做好城市绿化工作。</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第六条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任何单位和个人有权对破坏城市绿化和绿化设施的行为进行劝阻、投诉和举报。</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鼓励单位和个人以投资、捐资、认建、认养等方式，参与城市绿化建设和养护工作。捐资、认建、认养的单位和个人可以享有绿地、树木一定期限的冠名权。</w:t>
      </w:r>
    </w:p>
    <w:p>
      <w:pPr>
        <w:topLinePunct/>
        <w:adjustRightInd w:val="0"/>
        <w:snapToGrid w:val="0"/>
        <w:spacing w:line="592" w:lineRule="exact"/>
        <w:rPr>
          <w:rFonts w:ascii="Times New Roman" w:hAnsi="Times New Roman" w:eastAsia="仿宋_GB2312" w:cs="Times New Roman"/>
          <w:snapToGrid w:val="0"/>
          <w:color w:val="000000"/>
          <w:sz w:val="32"/>
          <w:szCs w:val="32"/>
        </w:rPr>
      </w:pPr>
    </w:p>
    <w:p>
      <w:pPr>
        <w:topLinePunct/>
        <w:adjustRightInd w:val="0"/>
        <w:snapToGrid w:val="0"/>
        <w:spacing w:line="592" w:lineRule="exact"/>
        <w:jc w:val="center"/>
        <w:rPr>
          <w:rFonts w:ascii="Times New Roman" w:hAnsi="Times New Roman" w:eastAsia="黑体" w:cs="Times New Roman"/>
          <w:snapToGrid w:val="0"/>
          <w:color w:val="000000"/>
          <w:sz w:val="32"/>
          <w:szCs w:val="32"/>
        </w:rPr>
      </w:pPr>
      <w:r>
        <w:rPr>
          <w:rFonts w:hint="eastAsia" w:ascii="Times New Roman" w:hAnsi="Times New Roman" w:eastAsia="黑体" w:cs="黑体"/>
          <w:snapToGrid w:val="0"/>
          <w:color w:val="000000"/>
          <w:sz w:val="32"/>
          <w:szCs w:val="32"/>
        </w:rPr>
        <w:t>第二章</w:t>
      </w:r>
      <w:r>
        <w:rPr>
          <w:rFonts w:ascii="Times New Roman" w:hAnsi="Times New Roman" w:eastAsia="黑体" w:cs="Times New Roman"/>
          <w:snapToGrid w:val="0"/>
          <w:color w:val="000000"/>
          <w:sz w:val="32"/>
          <w:szCs w:val="32"/>
        </w:rPr>
        <w:t xml:space="preserve">  </w:t>
      </w:r>
      <w:r>
        <w:rPr>
          <w:rFonts w:hint="eastAsia" w:ascii="Times New Roman" w:hAnsi="Times New Roman" w:eastAsia="黑体" w:cs="黑体"/>
          <w:snapToGrid w:val="0"/>
          <w:color w:val="000000"/>
          <w:sz w:val="32"/>
          <w:szCs w:val="32"/>
        </w:rPr>
        <w:t>规划和建设</w:t>
      </w:r>
    </w:p>
    <w:p>
      <w:pPr>
        <w:topLinePunct/>
        <w:adjustRightInd w:val="0"/>
        <w:snapToGrid w:val="0"/>
        <w:spacing w:line="592" w:lineRule="exact"/>
        <w:rPr>
          <w:rFonts w:ascii="Times New Roman" w:hAnsi="Times New Roman" w:eastAsia="仿宋_GB2312" w:cs="Times New Roman"/>
          <w:snapToGrid w:val="0"/>
          <w:color w:val="000000"/>
          <w:sz w:val="32"/>
          <w:szCs w:val="32"/>
        </w:rPr>
      </w:pP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第七条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市、县（区）自然资源规划行政主管部门应当会同城市绿化行政主管部门编制城市绿地系统规划，划定城市现状绿线、规划绿线和生态控制线，经本级人民政府批准后，向社会公布，接受社会监督。</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编制城市绿地系统规划应当结合城市的性质、规模、功能、人文、自然条件等，确定城市绿化目标和布局，利用原有地形、地貌、水体、植被和历史文化遗址等条件，合理配置各类城市绿地，充分发挥其生态保护、休闲游憩、社会文化等功能。</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城市绿地系统规划应当充分体现对城市规划区林地、水域、湿地等自然生态敏感区域的建设和保护，维护城市地域的自然风貌，构建人与自然和谐共生的城市绿化生态系统。</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第八条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依法划定的城市绿线，不得擅自调整。确因城市建设或者城市规划需要调整的，应当由自然资源规划行政主管部门会同城市绿化行政主管部门组织论证并按照规定报批。因调整绿线减少城市绿地的，应当在新规划的绿地中补足。绿线调整情况应当向社会公布，接受社会监督。</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第九条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市、县（区）人民政府及其有关行政主管部门应当严格依照城市绿地系统规划保护绿化成果，不得随意更换绿化乔木及调整绿化区域和减少绿地面积。确需更换绿化乔木及调整绿化区域和减少绿地面积的，应当进行听证，向社会公示，接受社会监督。</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第十条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工程建设项目应当安排绿化用地，其绿地率应当符合下列规定：</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（一）城市新建居住区不低于</w:t>
      </w:r>
      <w:r>
        <w:rPr>
          <w:rFonts w:ascii="Times New Roman" w:hAnsi="Times New Roman" w:eastAsia="仿宋_GB2312" w:cs="Times New Roman"/>
          <w:snapToGrid w:val="0"/>
          <w:color w:val="000000"/>
          <w:sz w:val="32"/>
          <w:szCs w:val="32"/>
        </w:rPr>
        <w:t>35%</w:t>
      </w:r>
      <w:r>
        <w:rPr>
          <w:rFonts w:hint="eastAsia" w:ascii="Times New Roman" w:hAnsi="Times New Roman" w:eastAsia="仿宋_GB2312" w:cs="仿宋_GB2312"/>
          <w:snapToGrid w:val="0"/>
          <w:color w:val="000000"/>
          <w:sz w:val="32"/>
          <w:szCs w:val="32"/>
        </w:rPr>
        <w:t>，改建的居住区不低于</w:t>
      </w:r>
      <w:r>
        <w:rPr>
          <w:rFonts w:ascii="Times New Roman" w:hAnsi="Times New Roman" w:eastAsia="仿宋_GB2312" w:cs="Times New Roman"/>
          <w:snapToGrid w:val="0"/>
          <w:color w:val="000000"/>
          <w:sz w:val="32"/>
          <w:szCs w:val="32"/>
        </w:rPr>
        <w:t>25%</w:t>
      </w:r>
      <w:r>
        <w:rPr>
          <w:rFonts w:hint="eastAsia" w:ascii="Times New Roman" w:hAnsi="Times New Roman" w:eastAsia="仿宋_GB2312" w:cs="仿宋_GB2312"/>
          <w:snapToGrid w:val="0"/>
          <w:color w:val="000000"/>
          <w:sz w:val="32"/>
          <w:szCs w:val="32"/>
        </w:rPr>
        <w:t>，改建前超过</w:t>
      </w:r>
      <w:r>
        <w:rPr>
          <w:rFonts w:ascii="Times New Roman" w:hAnsi="Times New Roman" w:eastAsia="仿宋_GB2312" w:cs="Times New Roman"/>
          <w:snapToGrid w:val="0"/>
          <w:color w:val="000000"/>
          <w:sz w:val="32"/>
          <w:szCs w:val="32"/>
        </w:rPr>
        <w:t>25%</w:t>
      </w:r>
      <w:r>
        <w:rPr>
          <w:rFonts w:hint="eastAsia" w:ascii="Times New Roman" w:hAnsi="Times New Roman" w:eastAsia="仿宋_GB2312" w:cs="仿宋_GB2312"/>
          <w:snapToGrid w:val="0"/>
          <w:color w:val="000000"/>
          <w:sz w:val="32"/>
          <w:szCs w:val="32"/>
        </w:rPr>
        <w:t>的，改建时不低于原有标准；</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（二）学校、医院、休（疗）养院（所）、机关、团体、公共文化设施等公共管理与公共服务用地不低于</w:t>
      </w:r>
      <w:r>
        <w:rPr>
          <w:rFonts w:ascii="Times New Roman" w:hAnsi="Times New Roman" w:eastAsia="仿宋_GB2312" w:cs="Times New Roman"/>
          <w:snapToGrid w:val="0"/>
          <w:color w:val="000000"/>
          <w:sz w:val="32"/>
          <w:szCs w:val="32"/>
        </w:rPr>
        <w:t>35%;</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（三）公用设施用地不低于</w:t>
      </w:r>
      <w:r>
        <w:rPr>
          <w:rFonts w:ascii="Times New Roman" w:hAnsi="Times New Roman" w:eastAsia="仿宋_GB2312" w:cs="Times New Roman"/>
          <w:snapToGrid w:val="0"/>
          <w:color w:val="000000"/>
          <w:sz w:val="32"/>
          <w:szCs w:val="32"/>
        </w:rPr>
        <w:t>30%;</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（四）道路交通设施、物流仓储用地不低于</w:t>
      </w:r>
      <w:r>
        <w:rPr>
          <w:rFonts w:ascii="Times New Roman" w:hAnsi="Times New Roman" w:eastAsia="仿宋_GB2312" w:cs="Times New Roman"/>
          <w:snapToGrid w:val="0"/>
          <w:color w:val="000000"/>
          <w:sz w:val="32"/>
          <w:szCs w:val="32"/>
        </w:rPr>
        <w:t>20%;</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（五）城市主干道不低于</w:t>
      </w:r>
      <w:r>
        <w:rPr>
          <w:rFonts w:ascii="Times New Roman" w:hAnsi="Times New Roman" w:eastAsia="仿宋_GB2312" w:cs="Times New Roman"/>
          <w:snapToGrid w:val="0"/>
          <w:color w:val="000000"/>
          <w:sz w:val="32"/>
          <w:szCs w:val="32"/>
        </w:rPr>
        <w:t>30%</w:t>
      </w:r>
      <w:r>
        <w:rPr>
          <w:rFonts w:hint="eastAsia" w:ascii="Times New Roman" w:hAnsi="Times New Roman" w:eastAsia="仿宋_GB2312" w:cs="仿宋_GB2312"/>
          <w:snapToGrid w:val="0"/>
          <w:color w:val="000000"/>
          <w:sz w:val="32"/>
          <w:szCs w:val="32"/>
        </w:rPr>
        <w:t>，次干道不低于</w:t>
      </w:r>
      <w:r>
        <w:rPr>
          <w:rFonts w:ascii="Times New Roman" w:hAnsi="Times New Roman" w:eastAsia="仿宋_GB2312" w:cs="Times New Roman"/>
          <w:snapToGrid w:val="0"/>
          <w:color w:val="000000"/>
          <w:sz w:val="32"/>
          <w:szCs w:val="32"/>
        </w:rPr>
        <w:t>20%;</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（六）广场用地不低于</w:t>
      </w:r>
      <w:r>
        <w:rPr>
          <w:rFonts w:ascii="Times New Roman" w:hAnsi="Times New Roman" w:eastAsia="仿宋_GB2312" w:cs="Times New Roman"/>
          <w:snapToGrid w:val="0"/>
          <w:color w:val="000000"/>
          <w:sz w:val="32"/>
          <w:szCs w:val="32"/>
        </w:rPr>
        <w:t>35%;</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（七）其他用地绿地率不低于国家和省有关标准。</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第十一条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城市绿化应当保持植物群落的多样性和合理性，结合各地气候特点，优先选用本地乡土树种，合理配置乔木、灌木、地被和宿根花卉等，体现地域和民族文化特色。</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第十二条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自然资源规划行政主管部门组织工程建设项目规划方案审查时，应当会同城市绿化行政主管部门对工程建设项目的绿化规划方案进行审查，绿化规划方案未经审查或者审查不合格的，不予批准工程建设项目规划方案。</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工程建设项目的附属绿化工程应当与主体工程同时规划、同时设计、同时报批、同时验收。</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项目建设单位应当按照批准的绿化设计方案进行施工；设计方案确需改变的，须经原批准机关审批。</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第十三条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绿化工程建设应当按照规定清理绿化用地，土壤质量、覆土厚度应当与种植要求相适应，符合相关技术规范。</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新建、扩建城市道路，应当种植行道树。行道树的种植，应当选择适宜的树种，符合行车视线、行车净空和行人通行的要求。</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居住区内绿化布局，应当综合考虑居住环境与采光、通风、居住安全等要求。</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室外公共停车场具备绿化条件的，应当配植庇荫乔（灌）木、绿化隔离带、铺设植草地坪，建设林荫停车场。</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公园、绿化广场沿街部分，城镇主要道路两侧沿线单位，除有特殊规定外，应当实施开放式绿化。</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第十四条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新建、改建、扩建各类管线工程时，应当按国家有关规定与绿化树木保持距离。</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供电、通信、供水、排水、燃气、市政等单位敷设各种管线和建设公用设施时，应当避让已有城市绿化和绿化设施；确实无法避让的，在设计和施工前应当征得城市绿化行政主管部门的同意，采取有效保护措施，并在项目建成后恢复绿化；无法恢复的应当采取相应补救措施。</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第十五条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城市公共绿化工程和工程建设项目的附属绿化工程竣工后，项目建设单位应当依法组织设计、施工、监理等单位进行竣工验收；质量监督机构应当按照有关规定监督工程竣工验收。</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居住区建设项目附属绿化工程竣工后，建设单位应当在居住区显著位置公布绿地平面图。</w:t>
      </w:r>
    </w:p>
    <w:p>
      <w:pPr>
        <w:topLinePunct/>
        <w:adjustRightInd w:val="0"/>
        <w:snapToGrid w:val="0"/>
        <w:spacing w:line="592" w:lineRule="exact"/>
        <w:ind w:firstLine="632"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pacing w:val="-2"/>
          <w:sz w:val="32"/>
          <w:szCs w:val="32"/>
        </w:rPr>
        <w:t>项目建设单位应当在城市绿化工程竣</w:t>
      </w:r>
      <w:r>
        <w:rPr>
          <w:rFonts w:hint="eastAsia" w:ascii="Times New Roman" w:hAnsi="Times New Roman" w:eastAsia="仿宋_GB2312" w:cs="仿宋_GB2312"/>
          <w:snapToGrid w:val="0"/>
          <w:color w:val="000000"/>
          <w:sz w:val="32"/>
          <w:szCs w:val="32"/>
        </w:rPr>
        <w:t>工验收合格后</w:t>
      </w:r>
      <w:r>
        <w:rPr>
          <w:rFonts w:ascii="Times New Roman" w:hAnsi="Times New Roman" w:eastAsia="仿宋_GB2312" w:cs="Times New Roman"/>
          <w:snapToGrid w:val="0"/>
          <w:color w:val="000000"/>
          <w:sz w:val="32"/>
          <w:szCs w:val="32"/>
        </w:rPr>
        <w:t>15</w:t>
      </w:r>
      <w:r>
        <w:rPr>
          <w:rFonts w:hint="eastAsia" w:ascii="Times New Roman" w:hAnsi="Times New Roman" w:eastAsia="仿宋_GB2312" w:cs="仿宋_GB2312"/>
          <w:snapToGrid w:val="0"/>
          <w:color w:val="000000"/>
          <w:sz w:val="32"/>
          <w:szCs w:val="32"/>
        </w:rPr>
        <w:t>日内，将绿化工程竣工验收资料分别报送自然资源规划行政主管部门和城市绿化行政主管部门备案。</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第十六条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项目建设单位在取得土地使用权后满</w:t>
      </w:r>
      <w:r>
        <w:rPr>
          <w:rFonts w:ascii="Times New Roman" w:hAnsi="Times New Roman" w:eastAsia="仿宋_GB2312" w:cs="Times New Roman"/>
          <w:snapToGrid w:val="0"/>
          <w:color w:val="000000"/>
          <w:sz w:val="32"/>
          <w:szCs w:val="32"/>
        </w:rPr>
        <w:t>6</w:t>
      </w:r>
      <w:r>
        <w:rPr>
          <w:rFonts w:hint="eastAsia" w:ascii="Times New Roman" w:hAnsi="Times New Roman" w:eastAsia="仿宋_GB2312" w:cs="仿宋_GB2312"/>
          <w:snapToGrid w:val="0"/>
          <w:color w:val="000000"/>
          <w:sz w:val="32"/>
          <w:szCs w:val="32"/>
        </w:rPr>
        <w:t>个月未开工建设，且建设项目用地具备绿化条件的，建设单位应当按照城市绿化行政主管部门的要求，进行简易绿化。</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第十七条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鼓励对已建各类建（构）筑物采用屋顶绿化、墙面绿化、挡墙绿化、坡面绿化、护坡绿化、桥梁绿化等多种形式进行立体绿化。</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新建公共建筑及高架桥、人行天桥、大型市政设施和挡墙、棚架、边坡、围栏等具备立体绿化条件的，应当按照相关标准和技术规范实施立体绿化。</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立体绿化不得违反有关法律法规规定，不得侵害他人合法权益或者影响建（构）筑物安全和公共安全。</w:t>
      </w:r>
    </w:p>
    <w:p>
      <w:pPr>
        <w:topLinePunct/>
        <w:adjustRightInd w:val="0"/>
        <w:snapToGrid w:val="0"/>
        <w:spacing w:line="592" w:lineRule="exact"/>
        <w:jc w:val="center"/>
        <w:rPr>
          <w:rFonts w:ascii="Times New Roman" w:hAnsi="Times New Roman" w:eastAsia="仿宋_GB2312" w:cs="Times New Roman"/>
          <w:snapToGrid w:val="0"/>
          <w:color w:val="000000"/>
          <w:sz w:val="32"/>
          <w:szCs w:val="32"/>
        </w:rPr>
      </w:pPr>
    </w:p>
    <w:p>
      <w:pPr>
        <w:topLinePunct/>
        <w:adjustRightInd w:val="0"/>
        <w:snapToGrid w:val="0"/>
        <w:spacing w:line="592" w:lineRule="exact"/>
        <w:jc w:val="center"/>
        <w:rPr>
          <w:rFonts w:ascii="Times New Roman" w:hAnsi="Times New Roman" w:eastAsia="黑体" w:cs="Times New Roman"/>
          <w:snapToGrid w:val="0"/>
          <w:color w:val="000000"/>
          <w:sz w:val="32"/>
          <w:szCs w:val="32"/>
        </w:rPr>
      </w:pPr>
      <w:r>
        <w:rPr>
          <w:rFonts w:hint="eastAsia" w:ascii="Times New Roman" w:hAnsi="Times New Roman" w:eastAsia="黑体" w:cs="黑体"/>
          <w:snapToGrid w:val="0"/>
          <w:color w:val="000000"/>
          <w:sz w:val="32"/>
          <w:szCs w:val="32"/>
        </w:rPr>
        <w:t>第三章</w:t>
      </w:r>
      <w:r>
        <w:rPr>
          <w:rFonts w:ascii="Times New Roman" w:hAnsi="Times New Roman" w:eastAsia="黑体" w:cs="Times New Roman"/>
          <w:snapToGrid w:val="0"/>
          <w:color w:val="000000"/>
          <w:sz w:val="32"/>
          <w:szCs w:val="32"/>
        </w:rPr>
        <w:t xml:space="preserve">  </w:t>
      </w:r>
      <w:r>
        <w:rPr>
          <w:rFonts w:hint="eastAsia" w:ascii="Times New Roman" w:hAnsi="Times New Roman" w:eastAsia="黑体" w:cs="黑体"/>
          <w:snapToGrid w:val="0"/>
          <w:color w:val="000000"/>
          <w:sz w:val="32"/>
          <w:szCs w:val="32"/>
        </w:rPr>
        <w:t>保护和管理</w:t>
      </w:r>
    </w:p>
    <w:p>
      <w:pPr>
        <w:topLinePunct/>
        <w:adjustRightInd w:val="0"/>
        <w:snapToGrid w:val="0"/>
        <w:spacing w:line="592" w:lineRule="exact"/>
        <w:jc w:val="center"/>
        <w:rPr>
          <w:rFonts w:ascii="Times New Roman" w:hAnsi="Times New Roman" w:eastAsia="黑体" w:cs="Times New Roman"/>
          <w:snapToGrid w:val="0"/>
          <w:color w:val="000000"/>
          <w:sz w:val="32"/>
          <w:szCs w:val="32"/>
        </w:rPr>
      </w:pP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第十八条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城市绿地的养护和管理单位应当建立健全管理制度，严格执行城市绿化养护技术规范。</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城市绿化行政主管部门应当加强对城市绿化养护管理工作的监督、指导和检查。</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第十九条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城市绿地的养护管理责任区划分：</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（一）市政道路、广场绿地、公共绿地等由城市绿化行政主管部门或者其委托代理单位负责，尚未移交的，由项目建设单位负责；</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（二）公路、铁路、水域及机场等用地范围内的绿地由产权单位或者管理单位负责；</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（三）单位附属绿地及其管界内的绿地，由产权单位负责；</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（四）生产经营企业绿地由经营单位负责；</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（五）居住区绿地，由产权单位、业主或者其委托的物业单位负责；</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（六）其他绿地、零星树木以及养护管理责任不清或者有争议的绿地、树木，由所在地人民政府确定养护管理单位。</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养护管理主体发生变更的，应当办理变更移交手续；移交手续办理完毕前，由原养护管理主体负责。</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第二十条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任何单位和个人不得擅自占用城市绿地。因市政建设、重大基础设施建设或者其他公共利益需要临时占用城市绿地的，应当按照有关规定向城市绿化行政主管部门办理临时占用手续；临时占用城市绿地需要移植树木的，应当一并申请。</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经批准临时占用城市绿地的，应当按批准使用的期限和占用的面积归还，并且恢复绿地。临时占用绿地的时间不得超过</w:t>
      </w:r>
      <w:r>
        <w:rPr>
          <w:rFonts w:ascii="Times New Roman" w:hAnsi="Times New Roman" w:eastAsia="仿宋_GB2312" w:cs="Times New Roman"/>
          <w:snapToGrid w:val="0"/>
          <w:color w:val="000000"/>
          <w:sz w:val="32"/>
          <w:szCs w:val="32"/>
        </w:rPr>
        <w:t>1</w:t>
      </w:r>
      <w:r>
        <w:rPr>
          <w:rFonts w:hint="eastAsia" w:ascii="Times New Roman" w:hAnsi="Times New Roman" w:eastAsia="仿宋_GB2312" w:cs="仿宋_GB2312"/>
          <w:snapToGrid w:val="0"/>
          <w:color w:val="000000"/>
          <w:sz w:val="32"/>
          <w:szCs w:val="32"/>
        </w:rPr>
        <w:t>年，因特殊原因需要延长占用时间的，应当按程序另行报批。</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第二十一条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任何单位和个人不得擅自改变城市绿地的性质。</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因城市规划调整或者城市基础设施建设确需改变绿地性质的，自然资源规划行政主管部门应当征求城市绿化行政主管部门意见，报同级人民政府批准后按程序调整。</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经批准改变绿地性质造成绿地减少的，项目建设单位应当在城市规划区内补建同等面积的绿地，补建绿地费用由项目建设单位承担。</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第二十二条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自然资源规划行政主管部门在土地使用权出让或者划拨时，应当将拟建设工程项目用地范围内树木分布情况书面告知城市绿化行政主管部门，由城市绿化行政主管部门提出对树木的处置、保护意见。</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用地单位应当按照城市绿化行政主管部门的意见，落实对树木的处置、保护措施，并接受城市绿化行政主管部门的监督。</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第二十三条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任何单位和个人不得擅自修剪、移植或者砍伐城市公共区域的树木。</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因工程建设或者养护管理需要砍伐、移植绿化树木的，城市绿化行政主管部门在审批前应当将砍伐、移植树木种类和数量等向社会公示，接受社会监督。</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因抢险救灾或者处置突发事件确需砍伐树木的，有关部门应当及时告知城市绿化行政主管部门，并在险情排除或者事件处置后</w:t>
      </w:r>
      <w:r>
        <w:rPr>
          <w:rFonts w:ascii="Times New Roman" w:hAnsi="Times New Roman" w:eastAsia="仿宋_GB2312" w:cs="Times New Roman"/>
          <w:snapToGrid w:val="0"/>
          <w:color w:val="000000"/>
          <w:sz w:val="32"/>
          <w:szCs w:val="32"/>
        </w:rPr>
        <w:t>10</w:t>
      </w:r>
      <w:r>
        <w:rPr>
          <w:rFonts w:hint="eastAsia" w:ascii="Times New Roman" w:hAnsi="Times New Roman" w:eastAsia="仿宋_GB2312" w:cs="仿宋_GB2312"/>
          <w:snapToGrid w:val="0"/>
          <w:color w:val="000000"/>
          <w:sz w:val="32"/>
          <w:szCs w:val="32"/>
        </w:rPr>
        <w:t>个工作日内到城市绿化行政主管部门补办手续。</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城市绿化树木的修剪和绿化植物的病虫害防治，应当在城市绿化行政主管部门监督指导下严格依照有关技术规范进行。</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第二十四条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禁止下列损坏城市绿化及其设施的行为：</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（一）攀折花木、割草取土、放养家禽、放牧捕猎、堆放杂物及燃放烟花爆竹；</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（二）开耕种植、掘取树根、剥取树皮；</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（三）放置危害城市绿化的寄生植物、就树建房或者搭棚、捆绑树身、圈围树木；</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（四）损毁树木、花草；</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（五）损坏绿化标识、围栏和喷灌、灯光等绿化设施；</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（六）其他损坏城市绿化及绿化设施的行为。</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第二十五条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在城市公共绿地内未经批准不得有行驶或者停放车辆、露营、踩踏、采摘花果枝叶、设置商业经营服务摊点等行为。</w:t>
      </w:r>
    </w:p>
    <w:p>
      <w:pPr>
        <w:topLinePunct/>
        <w:adjustRightInd w:val="0"/>
        <w:snapToGrid w:val="0"/>
        <w:spacing w:line="592" w:lineRule="exact"/>
        <w:jc w:val="center"/>
        <w:rPr>
          <w:rFonts w:ascii="Times New Roman" w:hAnsi="Times New Roman" w:eastAsia="仿宋_GB2312" w:cs="Times New Roman"/>
          <w:snapToGrid w:val="0"/>
          <w:color w:val="000000"/>
          <w:sz w:val="32"/>
          <w:szCs w:val="32"/>
        </w:rPr>
      </w:pPr>
    </w:p>
    <w:p>
      <w:pPr>
        <w:topLinePunct/>
        <w:adjustRightInd w:val="0"/>
        <w:snapToGrid w:val="0"/>
        <w:spacing w:line="592" w:lineRule="exact"/>
        <w:jc w:val="center"/>
        <w:rPr>
          <w:rFonts w:ascii="Times New Roman" w:hAnsi="Times New Roman" w:eastAsia="黑体" w:cs="Times New Roman"/>
          <w:snapToGrid w:val="0"/>
          <w:color w:val="000000"/>
          <w:sz w:val="32"/>
          <w:szCs w:val="32"/>
        </w:rPr>
      </w:pPr>
      <w:r>
        <w:rPr>
          <w:rFonts w:hint="eastAsia" w:ascii="Times New Roman" w:hAnsi="Times New Roman" w:eastAsia="黑体" w:cs="黑体"/>
          <w:snapToGrid w:val="0"/>
          <w:color w:val="000000"/>
          <w:sz w:val="32"/>
          <w:szCs w:val="32"/>
        </w:rPr>
        <w:t>第四章</w:t>
      </w:r>
      <w:r>
        <w:rPr>
          <w:rFonts w:ascii="Times New Roman" w:hAnsi="Times New Roman" w:eastAsia="黑体" w:cs="Times New Roman"/>
          <w:snapToGrid w:val="0"/>
          <w:color w:val="000000"/>
          <w:sz w:val="32"/>
          <w:szCs w:val="32"/>
        </w:rPr>
        <w:t xml:space="preserve">  </w:t>
      </w:r>
      <w:r>
        <w:rPr>
          <w:rFonts w:hint="eastAsia" w:ascii="Times New Roman" w:hAnsi="Times New Roman" w:eastAsia="黑体" w:cs="黑体"/>
          <w:snapToGrid w:val="0"/>
          <w:color w:val="000000"/>
          <w:sz w:val="32"/>
          <w:szCs w:val="32"/>
        </w:rPr>
        <w:t>法律责任</w:t>
      </w:r>
    </w:p>
    <w:p>
      <w:pPr>
        <w:topLinePunct/>
        <w:adjustRightInd w:val="0"/>
        <w:snapToGrid w:val="0"/>
        <w:spacing w:line="592" w:lineRule="exact"/>
        <w:jc w:val="center"/>
        <w:rPr>
          <w:rFonts w:ascii="Times New Roman" w:hAnsi="Times New Roman" w:eastAsia="黑体" w:cs="Times New Roman"/>
          <w:snapToGrid w:val="0"/>
          <w:color w:val="000000"/>
          <w:sz w:val="32"/>
          <w:szCs w:val="32"/>
        </w:rPr>
      </w:pP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第二十六条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违反本条例第十条规定，工程建设项目竣工后，未达到相应绿地率标准的，由城市管理综合行政执法机构责令限期改正；逾期不改正的，按照不足绿地面积，处每平方米</w:t>
      </w:r>
      <w:r>
        <w:rPr>
          <w:rFonts w:ascii="Times New Roman" w:hAnsi="Times New Roman" w:eastAsia="仿宋_GB2312" w:cs="Times New Roman"/>
          <w:snapToGrid w:val="0"/>
          <w:color w:val="000000"/>
          <w:sz w:val="32"/>
          <w:szCs w:val="32"/>
        </w:rPr>
        <w:t>1</w:t>
      </w:r>
      <w:r>
        <w:rPr>
          <w:rFonts w:hint="eastAsia" w:ascii="Times New Roman" w:hAnsi="Times New Roman" w:eastAsia="仿宋_GB2312" w:cs="仿宋_GB2312"/>
          <w:snapToGrid w:val="0"/>
          <w:color w:val="000000"/>
          <w:sz w:val="32"/>
          <w:szCs w:val="32"/>
        </w:rPr>
        <w:t>万元以上</w:t>
      </w:r>
      <w:r>
        <w:rPr>
          <w:rFonts w:ascii="Times New Roman" w:hAnsi="Times New Roman" w:eastAsia="仿宋_GB2312" w:cs="Times New Roman"/>
          <w:snapToGrid w:val="0"/>
          <w:color w:val="000000"/>
          <w:sz w:val="32"/>
          <w:szCs w:val="32"/>
        </w:rPr>
        <w:t>3</w:t>
      </w:r>
      <w:r>
        <w:rPr>
          <w:rFonts w:hint="eastAsia" w:ascii="Times New Roman" w:hAnsi="Times New Roman" w:eastAsia="仿宋_GB2312" w:cs="仿宋_GB2312"/>
          <w:snapToGrid w:val="0"/>
          <w:color w:val="000000"/>
          <w:sz w:val="32"/>
          <w:szCs w:val="32"/>
        </w:rPr>
        <w:t>万元以下罚款。</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第二十七条</w:t>
      </w:r>
      <w:r>
        <w:rPr>
          <w:rFonts w:ascii="Times New Roman" w:hAnsi="Times New Roman" w:eastAsia="黑体"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违反本条例第十五条第二款规定，项目建设单位未按规定公示居住区绿地平面图的，由城市管理综合行政执法机构责令限期改正；逾期不改正的，处</w:t>
      </w:r>
      <w:r>
        <w:rPr>
          <w:rFonts w:ascii="Times New Roman" w:hAnsi="Times New Roman" w:eastAsia="仿宋_GB2312" w:cs="Times New Roman"/>
          <w:snapToGrid w:val="0"/>
          <w:color w:val="000000"/>
          <w:sz w:val="32"/>
          <w:szCs w:val="32"/>
        </w:rPr>
        <w:t>2000</w:t>
      </w:r>
      <w:r>
        <w:rPr>
          <w:rFonts w:hint="eastAsia" w:ascii="Times New Roman" w:hAnsi="Times New Roman" w:eastAsia="仿宋_GB2312" w:cs="仿宋_GB2312"/>
          <w:snapToGrid w:val="0"/>
          <w:color w:val="000000"/>
          <w:sz w:val="32"/>
          <w:szCs w:val="32"/>
        </w:rPr>
        <w:t>元以上</w:t>
      </w:r>
      <w:r>
        <w:rPr>
          <w:rFonts w:ascii="Times New Roman" w:hAnsi="Times New Roman" w:eastAsia="仿宋_GB2312" w:cs="Times New Roman"/>
          <w:snapToGrid w:val="0"/>
          <w:color w:val="000000"/>
          <w:sz w:val="32"/>
          <w:szCs w:val="32"/>
        </w:rPr>
        <w:t>1</w:t>
      </w:r>
      <w:r>
        <w:rPr>
          <w:rFonts w:hint="eastAsia" w:ascii="Times New Roman" w:hAnsi="Times New Roman" w:eastAsia="仿宋_GB2312" w:cs="仿宋_GB2312"/>
          <w:snapToGrid w:val="0"/>
          <w:color w:val="000000"/>
          <w:sz w:val="32"/>
          <w:szCs w:val="32"/>
        </w:rPr>
        <w:t>万元以下罚款。</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第二十八条</w:t>
      </w:r>
      <w:r>
        <w:rPr>
          <w:rFonts w:ascii="Times New Roman" w:hAnsi="Times New Roman" w:eastAsia="黑体"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违反本条例第十六条规定，项目建设单位未进行简易绿化的，由城市管理综合行政执法机构责令限期改正；逾期不改正的，处</w:t>
      </w:r>
      <w:r>
        <w:rPr>
          <w:rFonts w:ascii="Times New Roman" w:hAnsi="Times New Roman" w:eastAsia="仿宋_GB2312" w:cs="Times New Roman"/>
          <w:snapToGrid w:val="0"/>
          <w:color w:val="000000"/>
          <w:sz w:val="32"/>
          <w:szCs w:val="32"/>
        </w:rPr>
        <w:t>1</w:t>
      </w:r>
      <w:r>
        <w:rPr>
          <w:rFonts w:hint="eastAsia" w:ascii="Times New Roman" w:hAnsi="Times New Roman" w:eastAsia="仿宋_GB2312" w:cs="仿宋_GB2312"/>
          <w:snapToGrid w:val="0"/>
          <w:color w:val="000000"/>
          <w:sz w:val="32"/>
          <w:szCs w:val="32"/>
        </w:rPr>
        <w:t>万元以上</w:t>
      </w:r>
      <w:r>
        <w:rPr>
          <w:rFonts w:ascii="Times New Roman" w:hAnsi="Times New Roman" w:eastAsia="仿宋_GB2312" w:cs="Times New Roman"/>
          <w:snapToGrid w:val="0"/>
          <w:color w:val="000000"/>
          <w:sz w:val="32"/>
          <w:szCs w:val="32"/>
        </w:rPr>
        <w:t>5</w:t>
      </w:r>
      <w:r>
        <w:rPr>
          <w:rFonts w:hint="eastAsia" w:ascii="Times New Roman" w:hAnsi="Times New Roman" w:eastAsia="仿宋_GB2312" w:cs="仿宋_GB2312"/>
          <w:snapToGrid w:val="0"/>
          <w:color w:val="000000"/>
          <w:sz w:val="32"/>
          <w:szCs w:val="32"/>
        </w:rPr>
        <w:t>万元以下罚款。</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第二十九条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违反本条例第二十条规定，擅自占用或者临时占用城市绿地超过批准期限的，由城市管理综合行政执法机构责令限期归还、恢复原状，并按照所占面积处每天每平方米</w:t>
      </w:r>
      <w:r>
        <w:rPr>
          <w:rFonts w:ascii="Times New Roman" w:hAnsi="Times New Roman" w:eastAsia="仿宋_GB2312" w:cs="Times New Roman"/>
          <w:snapToGrid w:val="0"/>
          <w:color w:val="000000"/>
          <w:sz w:val="32"/>
          <w:szCs w:val="32"/>
        </w:rPr>
        <w:t>20</w:t>
      </w:r>
      <w:r>
        <w:rPr>
          <w:rFonts w:hint="eastAsia" w:ascii="Times New Roman" w:hAnsi="Times New Roman" w:eastAsia="仿宋_GB2312" w:cs="仿宋_GB2312"/>
          <w:snapToGrid w:val="0"/>
          <w:color w:val="000000"/>
          <w:sz w:val="32"/>
          <w:szCs w:val="32"/>
        </w:rPr>
        <w:t>元罚款。</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第三十条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违反本条例第二十一条规定，擅自改变绿地用地使用性质的，由城市管理综合行政执法机构责令限期改正；逾期不改正的，由城市管理综合行政执法机构对所建建（构）筑物进行依法拆除，恢复原状，恢复费用由责任人承担。</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第三十一条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违反本条例第二十三条规定，擅自修剪、移植树木的，由城市管理综合行政执法机构责令停止违法行为，处</w:t>
      </w:r>
      <w:r>
        <w:rPr>
          <w:rFonts w:ascii="Times New Roman" w:hAnsi="Times New Roman" w:eastAsia="仿宋_GB2312" w:cs="Times New Roman"/>
          <w:snapToGrid w:val="0"/>
          <w:color w:val="000000"/>
          <w:sz w:val="32"/>
          <w:szCs w:val="32"/>
        </w:rPr>
        <w:t>100</w:t>
      </w:r>
      <w:r>
        <w:rPr>
          <w:rFonts w:hint="eastAsia" w:ascii="Times New Roman" w:hAnsi="Times New Roman" w:eastAsia="仿宋_GB2312" w:cs="仿宋_GB2312"/>
          <w:snapToGrid w:val="0"/>
          <w:color w:val="000000"/>
          <w:sz w:val="32"/>
          <w:szCs w:val="32"/>
        </w:rPr>
        <w:t>元以上</w:t>
      </w:r>
      <w:r>
        <w:rPr>
          <w:rFonts w:ascii="Times New Roman" w:hAnsi="Times New Roman" w:eastAsia="仿宋_GB2312" w:cs="Times New Roman"/>
          <w:snapToGrid w:val="0"/>
          <w:color w:val="000000"/>
          <w:sz w:val="32"/>
          <w:szCs w:val="32"/>
        </w:rPr>
        <w:t>1000</w:t>
      </w:r>
      <w:r>
        <w:rPr>
          <w:rFonts w:hint="eastAsia" w:ascii="Times New Roman" w:hAnsi="Times New Roman" w:eastAsia="仿宋_GB2312" w:cs="仿宋_GB2312"/>
          <w:snapToGrid w:val="0"/>
          <w:color w:val="000000"/>
          <w:sz w:val="32"/>
          <w:szCs w:val="32"/>
        </w:rPr>
        <w:t>元以下罚款；擅自砍伐树木的，按照有关法律法规的规定予以处罚；因擅自修剪、移植、砍伐树木造成损失的，依法承担赔偿责任。</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第三十二条</w:t>
      </w:r>
      <w:r>
        <w:rPr>
          <w:rFonts w:ascii="Times New Roman" w:hAnsi="Times New Roman" w:eastAsia="黑体"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违反本条例第二十四条规定的，由城市管理综合行政执法机构责令改正；造成损失的，依法承担赔偿责任，并可以按照下列规定予以处罚：</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（一）违反第一项规定的，处</w:t>
      </w:r>
      <w:r>
        <w:rPr>
          <w:rFonts w:ascii="Times New Roman" w:hAnsi="Times New Roman" w:eastAsia="仿宋_GB2312" w:cs="Times New Roman"/>
          <w:snapToGrid w:val="0"/>
          <w:color w:val="000000"/>
          <w:sz w:val="32"/>
          <w:szCs w:val="32"/>
        </w:rPr>
        <w:t>100</w:t>
      </w:r>
      <w:r>
        <w:rPr>
          <w:rFonts w:hint="eastAsia" w:ascii="Times New Roman" w:hAnsi="Times New Roman" w:eastAsia="仿宋_GB2312" w:cs="仿宋_GB2312"/>
          <w:snapToGrid w:val="0"/>
          <w:color w:val="000000"/>
          <w:sz w:val="32"/>
          <w:szCs w:val="32"/>
        </w:rPr>
        <w:t>元以上</w:t>
      </w:r>
      <w:r>
        <w:rPr>
          <w:rFonts w:ascii="Times New Roman" w:hAnsi="Times New Roman" w:eastAsia="仿宋_GB2312" w:cs="Times New Roman"/>
          <w:snapToGrid w:val="0"/>
          <w:color w:val="000000"/>
          <w:sz w:val="32"/>
          <w:szCs w:val="32"/>
        </w:rPr>
        <w:t>500</w:t>
      </w:r>
      <w:r>
        <w:rPr>
          <w:rFonts w:hint="eastAsia" w:ascii="Times New Roman" w:hAnsi="Times New Roman" w:eastAsia="仿宋_GB2312" w:cs="仿宋_GB2312"/>
          <w:snapToGrid w:val="0"/>
          <w:color w:val="000000"/>
          <w:sz w:val="32"/>
          <w:szCs w:val="32"/>
        </w:rPr>
        <w:t>元以下罚款；</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（二）违反第二项规定的，处</w:t>
      </w:r>
      <w:r>
        <w:rPr>
          <w:rFonts w:ascii="Times New Roman" w:hAnsi="Times New Roman" w:eastAsia="仿宋_GB2312" w:cs="Times New Roman"/>
          <w:snapToGrid w:val="0"/>
          <w:color w:val="000000"/>
          <w:sz w:val="32"/>
          <w:szCs w:val="32"/>
        </w:rPr>
        <w:t>500</w:t>
      </w:r>
      <w:r>
        <w:rPr>
          <w:rFonts w:hint="eastAsia" w:ascii="Times New Roman" w:hAnsi="Times New Roman" w:eastAsia="仿宋_GB2312" w:cs="仿宋_GB2312"/>
          <w:snapToGrid w:val="0"/>
          <w:color w:val="000000"/>
          <w:sz w:val="32"/>
          <w:szCs w:val="32"/>
        </w:rPr>
        <w:t>元以上</w:t>
      </w:r>
      <w:r>
        <w:rPr>
          <w:rFonts w:ascii="Times New Roman" w:hAnsi="Times New Roman" w:eastAsia="仿宋_GB2312" w:cs="Times New Roman"/>
          <w:snapToGrid w:val="0"/>
          <w:color w:val="000000"/>
          <w:sz w:val="32"/>
          <w:szCs w:val="32"/>
        </w:rPr>
        <w:t>1000</w:t>
      </w:r>
      <w:r>
        <w:rPr>
          <w:rFonts w:hint="eastAsia" w:ascii="Times New Roman" w:hAnsi="Times New Roman" w:eastAsia="仿宋_GB2312" w:cs="仿宋_GB2312"/>
          <w:snapToGrid w:val="0"/>
          <w:color w:val="000000"/>
          <w:sz w:val="32"/>
          <w:szCs w:val="32"/>
        </w:rPr>
        <w:t>元以下罚款；</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（三）违反第三项、第四项、第五项规定的，处</w:t>
      </w:r>
      <w:r>
        <w:rPr>
          <w:rFonts w:ascii="Times New Roman" w:hAnsi="Times New Roman" w:eastAsia="仿宋_GB2312" w:cs="Times New Roman"/>
          <w:snapToGrid w:val="0"/>
          <w:color w:val="000000"/>
          <w:sz w:val="32"/>
          <w:szCs w:val="32"/>
        </w:rPr>
        <w:t>100</w:t>
      </w:r>
      <w:r>
        <w:rPr>
          <w:rFonts w:hint="eastAsia" w:ascii="Times New Roman" w:hAnsi="Times New Roman" w:eastAsia="仿宋_GB2312" w:cs="仿宋_GB2312"/>
          <w:snapToGrid w:val="0"/>
          <w:color w:val="000000"/>
          <w:sz w:val="32"/>
          <w:szCs w:val="32"/>
        </w:rPr>
        <w:t>元以上</w:t>
      </w:r>
      <w:r>
        <w:rPr>
          <w:rFonts w:ascii="Times New Roman" w:hAnsi="Times New Roman" w:eastAsia="仿宋_GB2312" w:cs="Times New Roman"/>
          <w:snapToGrid w:val="0"/>
          <w:color w:val="000000"/>
          <w:sz w:val="32"/>
          <w:szCs w:val="32"/>
        </w:rPr>
        <w:t>1000</w:t>
      </w:r>
      <w:r>
        <w:rPr>
          <w:rFonts w:hint="eastAsia" w:ascii="Times New Roman" w:hAnsi="Times New Roman" w:eastAsia="仿宋_GB2312" w:cs="仿宋_GB2312"/>
          <w:snapToGrid w:val="0"/>
          <w:color w:val="000000"/>
          <w:sz w:val="32"/>
          <w:szCs w:val="32"/>
        </w:rPr>
        <w:t>元以下罚款。</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第三十三条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违反本条例第二十五条规定的，由城市管理综合行政执法机构责令改正；造成损失的，依法承担赔偿责任，并可以按照下列规定予以处罚：</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（一）行驶或者停放车辆、露营、踩踏、采摘花果枝叶的，处</w:t>
      </w:r>
      <w:r>
        <w:rPr>
          <w:rFonts w:ascii="Times New Roman" w:hAnsi="Times New Roman" w:eastAsia="仿宋_GB2312" w:cs="Times New Roman"/>
          <w:snapToGrid w:val="0"/>
          <w:color w:val="000000"/>
          <w:sz w:val="32"/>
          <w:szCs w:val="32"/>
        </w:rPr>
        <w:t>100</w:t>
      </w:r>
      <w:r>
        <w:rPr>
          <w:rFonts w:hint="eastAsia" w:ascii="Times New Roman" w:hAnsi="Times New Roman" w:eastAsia="仿宋_GB2312" w:cs="仿宋_GB2312"/>
          <w:snapToGrid w:val="0"/>
          <w:color w:val="000000"/>
          <w:sz w:val="32"/>
          <w:szCs w:val="32"/>
        </w:rPr>
        <w:t>元以上</w:t>
      </w:r>
      <w:r>
        <w:rPr>
          <w:rFonts w:ascii="Times New Roman" w:hAnsi="Times New Roman" w:eastAsia="仿宋_GB2312" w:cs="Times New Roman"/>
          <w:snapToGrid w:val="0"/>
          <w:color w:val="000000"/>
          <w:sz w:val="32"/>
          <w:szCs w:val="32"/>
        </w:rPr>
        <w:t>500</w:t>
      </w:r>
      <w:r>
        <w:rPr>
          <w:rFonts w:hint="eastAsia" w:ascii="Times New Roman" w:hAnsi="Times New Roman" w:eastAsia="仿宋_GB2312" w:cs="仿宋_GB2312"/>
          <w:snapToGrid w:val="0"/>
          <w:color w:val="000000"/>
          <w:sz w:val="32"/>
          <w:szCs w:val="32"/>
        </w:rPr>
        <w:t>元以下罚款；</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仿宋_GB2312"/>
          <w:snapToGrid w:val="0"/>
          <w:color w:val="000000"/>
          <w:sz w:val="32"/>
          <w:szCs w:val="32"/>
        </w:rPr>
        <w:t>（二）设置商业经营服务摊点的，处</w:t>
      </w:r>
      <w:r>
        <w:rPr>
          <w:rFonts w:ascii="Times New Roman" w:hAnsi="Times New Roman" w:eastAsia="仿宋_GB2312" w:cs="Times New Roman"/>
          <w:snapToGrid w:val="0"/>
          <w:color w:val="000000"/>
          <w:sz w:val="32"/>
          <w:szCs w:val="32"/>
        </w:rPr>
        <w:t>500</w:t>
      </w:r>
      <w:r>
        <w:rPr>
          <w:rFonts w:hint="eastAsia" w:ascii="Times New Roman" w:hAnsi="Times New Roman" w:eastAsia="仿宋_GB2312" w:cs="仿宋_GB2312"/>
          <w:snapToGrid w:val="0"/>
          <w:color w:val="000000"/>
          <w:sz w:val="32"/>
          <w:szCs w:val="32"/>
        </w:rPr>
        <w:t>元以上</w:t>
      </w:r>
      <w:r>
        <w:rPr>
          <w:rFonts w:ascii="Times New Roman" w:hAnsi="Times New Roman" w:eastAsia="仿宋_GB2312" w:cs="Times New Roman"/>
          <w:snapToGrid w:val="0"/>
          <w:color w:val="000000"/>
          <w:sz w:val="32"/>
          <w:szCs w:val="32"/>
        </w:rPr>
        <w:t>1000</w:t>
      </w:r>
      <w:r>
        <w:rPr>
          <w:rFonts w:hint="eastAsia" w:ascii="Times New Roman" w:hAnsi="Times New Roman" w:eastAsia="仿宋_GB2312" w:cs="仿宋_GB2312"/>
          <w:snapToGrid w:val="0"/>
          <w:color w:val="000000"/>
          <w:sz w:val="32"/>
          <w:szCs w:val="32"/>
        </w:rPr>
        <w:t>元以下罚款。</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第三十四条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因交通或者生产事故损坏城市树木、花草和城市绿化设施的，事故责任人应当依法承担赔偿责任。</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第三十五条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违反本条例规定，应当给予治安管理处罚的，依照《中华人民共和国治安管理处罚法》有关规定处罚；构成犯罪的，依法追究刑事责任。</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第三十六条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公职人员和有关人员在城市绿化管理工作中，有贪污贿赂、玩忽职守、滥用职权、徇私舞弊以及浪费国家资财等情形的，由其所在单位、上级机关、主管部门或者监察机关依法给予处分；构成犯罪的，依法追究刑事责任。</w:t>
      </w:r>
    </w:p>
    <w:p>
      <w:pPr>
        <w:topLinePunct/>
        <w:adjustRightInd w:val="0"/>
        <w:snapToGrid w:val="0"/>
        <w:spacing w:line="592" w:lineRule="exact"/>
        <w:jc w:val="center"/>
        <w:rPr>
          <w:rFonts w:ascii="Times New Roman" w:hAnsi="Times New Roman" w:eastAsia="黑体" w:cs="Times New Roman"/>
          <w:snapToGrid w:val="0"/>
          <w:color w:val="000000"/>
          <w:sz w:val="32"/>
          <w:szCs w:val="32"/>
        </w:rPr>
      </w:pPr>
    </w:p>
    <w:p>
      <w:pPr>
        <w:topLinePunct/>
        <w:adjustRightInd w:val="0"/>
        <w:snapToGrid w:val="0"/>
        <w:spacing w:line="592" w:lineRule="exact"/>
        <w:jc w:val="center"/>
        <w:rPr>
          <w:rFonts w:ascii="Times New Roman" w:hAnsi="Times New Roman" w:eastAsia="黑体" w:cs="Times New Roman"/>
          <w:snapToGrid w:val="0"/>
          <w:color w:val="000000"/>
          <w:sz w:val="32"/>
          <w:szCs w:val="32"/>
        </w:rPr>
      </w:pPr>
      <w:r>
        <w:rPr>
          <w:rFonts w:hint="eastAsia" w:ascii="Times New Roman" w:hAnsi="Times New Roman" w:eastAsia="黑体" w:cs="黑体"/>
          <w:snapToGrid w:val="0"/>
          <w:color w:val="000000"/>
          <w:sz w:val="32"/>
          <w:szCs w:val="32"/>
        </w:rPr>
        <w:t>第五章</w:t>
      </w:r>
      <w:r>
        <w:rPr>
          <w:rFonts w:ascii="Times New Roman" w:hAnsi="Times New Roman" w:eastAsia="黑体" w:cs="Times New Roman"/>
          <w:snapToGrid w:val="0"/>
          <w:color w:val="000000"/>
          <w:sz w:val="32"/>
          <w:szCs w:val="32"/>
        </w:rPr>
        <w:t xml:space="preserve">  </w:t>
      </w:r>
      <w:r>
        <w:rPr>
          <w:rFonts w:hint="eastAsia" w:ascii="Times New Roman" w:hAnsi="Times New Roman" w:eastAsia="黑体" w:cs="黑体"/>
          <w:snapToGrid w:val="0"/>
          <w:color w:val="000000"/>
          <w:sz w:val="32"/>
          <w:szCs w:val="32"/>
        </w:rPr>
        <w:t>附</w:t>
      </w:r>
      <w:r>
        <w:rPr>
          <w:rFonts w:ascii="Times New Roman" w:hAnsi="Times New Roman" w:eastAsia="黑体" w:cs="Times New Roman"/>
          <w:snapToGrid w:val="0"/>
          <w:color w:val="000000"/>
          <w:sz w:val="32"/>
          <w:szCs w:val="32"/>
        </w:rPr>
        <w:t xml:space="preserve">  </w:t>
      </w:r>
      <w:r>
        <w:rPr>
          <w:rFonts w:hint="eastAsia" w:ascii="Times New Roman" w:hAnsi="Times New Roman" w:eastAsia="黑体" w:cs="黑体"/>
          <w:snapToGrid w:val="0"/>
          <w:color w:val="000000"/>
          <w:sz w:val="32"/>
          <w:szCs w:val="32"/>
        </w:rPr>
        <w:t>则</w:t>
      </w:r>
    </w:p>
    <w:p>
      <w:pPr>
        <w:topLinePunct/>
        <w:adjustRightInd w:val="0"/>
        <w:snapToGrid w:val="0"/>
        <w:spacing w:line="592" w:lineRule="exact"/>
        <w:jc w:val="center"/>
        <w:rPr>
          <w:rFonts w:ascii="Times New Roman" w:hAnsi="Times New Roman" w:eastAsia="黑体" w:cs="Times New Roman"/>
          <w:snapToGrid w:val="0"/>
          <w:color w:val="000000"/>
          <w:sz w:val="32"/>
          <w:szCs w:val="32"/>
        </w:rPr>
      </w:pP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黑体" w:cs="黑体"/>
          <w:snapToGrid w:val="0"/>
          <w:color w:val="000000"/>
          <w:sz w:val="32"/>
          <w:szCs w:val="32"/>
        </w:rPr>
        <w:t>第三十七条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市、县（区）人民政府可以依据本条例，结合实际制定实施办法。</w:t>
      </w:r>
    </w:p>
    <w:p>
      <w:pPr>
        <w:topLinePunct/>
        <w:adjustRightInd w:val="0"/>
        <w:snapToGrid w:val="0"/>
        <w:spacing w:line="592" w:lineRule="exact"/>
        <w:ind w:firstLine="640" w:firstLineChars="200"/>
        <w:rPr>
          <w:rFonts w:ascii="Times New Roman" w:hAnsi="Times New Roman" w:eastAsia="楷体_GB2312" w:cs="Times New Roman"/>
          <w:snapToGrid w:val="0"/>
          <w:color w:val="000000"/>
          <w:kern w:val="32"/>
          <w:sz w:val="32"/>
          <w:szCs w:val="32"/>
        </w:rPr>
      </w:pPr>
      <w:r>
        <w:rPr>
          <w:rFonts w:hint="eastAsia" w:ascii="Times New Roman" w:hAnsi="Times New Roman" w:eastAsia="黑体" w:cs="黑体"/>
          <w:snapToGrid w:val="0"/>
          <w:color w:val="000000"/>
          <w:sz w:val="32"/>
          <w:szCs w:val="32"/>
        </w:rPr>
        <w:t>第三十八条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仿宋_GB2312"/>
          <w:snapToGrid w:val="0"/>
          <w:color w:val="000000"/>
          <w:sz w:val="32"/>
          <w:szCs w:val="32"/>
        </w:rPr>
        <w:t>本条例自</w:t>
      </w:r>
      <w:r>
        <w:rPr>
          <w:rFonts w:ascii="Times New Roman" w:hAnsi="Times New Roman" w:eastAsia="仿宋_GB2312" w:cs="Times New Roman"/>
          <w:snapToGrid w:val="0"/>
          <w:color w:val="000000"/>
          <w:sz w:val="32"/>
          <w:szCs w:val="32"/>
        </w:rPr>
        <w:t>2020</w:t>
      </w:r>
      <w:r>
        <w:rPr>
          <w:rFonts w:hint="eastAsia" w:ascii="Times New Roman" w:hAnsi="Times New Roman" w:eastAsia="仿宋_GB2312" w:cs="仿宋_GB2312"/>
          <w:snapToGrid w:val="0"/>
          <w:color w:val="000000"/>
          <w:sz w:val="32"/>
          <w:szCs w:val="32"/>
        </w:rPr>
        <w:t>年</w:t>
      </w:r>
      <w:r>
        <w:rPr>
          <w:rFonts w:ascii="Times New Roman" w:hAnsi="Times New Roman" w:eastAsia="仿宋_GB2312" w:cs="Times New Roman"/>
          <w:snapToGrid w:val="0"/>
          <w:color w:val="000000"/>
          <w:sz w:val="32"/>
          <w:szCs w:val="32"/>
        </w:rPr>
        <w:t>1</w:t>
      </w:r>
      <w:r>
        <w:rPr>
          <w:rFonts w:hint="eastAsia" w:ascii="Times New Roman" w:hAnsi="Times New Roman" w:eastAsia="仿宋_GB2312" w:cs="仿宋_GB2312"/>
          <w:snapToGrid w:val="0"/>
          <w:color w:val="000000"/>
          <w:sz w:val="32"/>
          <w:szCs w:val="32"/>
        </w:rPr>
        <w:t>月</w:t>
      </w:r>
      <w:r>
        <w:rPr>
          <w:rFonts w:ascii="Times New Roman" w:hAnsi="Times New Roman" w:eastAsia="仿宋_GB2312" w:cs="Times New Roman"/>
          <w:snapToGrid w:val="0"/>
          <w:color w:val="000000"/>
          <w:sz w:val="32"/>
          <w:szCs w:val="32"/>
        </w:rPr>
        <w:t>1</w:t>
      </w:r>
      <w:r>
        <w:rPr>
          <w:rFonts w:hint="eastAsia" w:ascii="Times New Roman" w:hAnsi="Times New Roman" w:eastAsia="仿宋_GB2312" w:cs="仿宋_GB2312"/>
          <w:snapToGrid w:val="0"/>
          <w:color w:val="000000"/>
          <w:sz w:val="32"/>
          <w:szCs w:val="32"/>
        </w:rPr>
        <w:t>日起施行。</w:t>
      </w:r>
    </w:p>
    <w:bookmarkEnd w:id="0"/>
    <w:sectPr>
      <w:headerReference r:id="rId3" w:type="default"/>
      <w:footerReference r:id="rId4" w:type="default"/>
      <w:pgSz w:w="11906" w:h="16838"/>
      <w:pgMar w:top="1928" w:right="1531" w:bottom="1871" w:left="1531" w:header="1418"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Fonts w:cs="Times New Roman"/>
        <w:sz w:val="28"/>
        <w:szCs w:val="28"/>
      </w:rPr>
    </w:pPr>
    <w:r>
      <w:rPr>
        <w:rStyle w:val="17"/>
        <w:rFonts w:ascii="宋体" w:hAnsi="宋体" w:eastAsia="宋体" w:cs="宋体"/>
        <w:color w:val="FFFFFF"/>
        <w:sz w:val="28"/>
        <w:szCs w:val="28"/>
      </w:rPr>
      <w:t>—</w:t>
    </w:r>
    <w:r>
      <w:rPr>
        <w:rStyle w:val="17"/>
        <w:rFonts w:ascii="宋体" w:hAnsi="宋体" w:eastAsia="宋体" w:cs="宋体"/>
        <w:sz w:val="28"/>
        <w:szCs w:val="28"/>
      </w:rPr>
      <w:t xml:space="preserve">— </w:t>
    </w:r>
    <w:r>
      <w:rPr>
        <w:rStyle w:val="17"/>
        <w:rFonts w:ascii="Times New Roman" w:hAnsi="Times New Roman" w:cs="Times New Roman"/>
        <w:sz w:val="28"/>
        <w:szCs w:val="28"/>
      </w:rPr>
      <w:fldChar w:fldCharType="begin"/>
    </w:r>
    <w:r>
      <w:rPr>
        <w:rStyle w:val="17"/>
        <w:rFonts w:ascii="Times New Roman" w:hAnsi="Times New Roman" w:cs="Times New Roman"/>
        <w:sz w:val="28"/>
        <w:szCs w:val="28"/>
      </w:rPr>
      <w:instrText xml:space="preserve">PAGE  </w:instrText>
    </w:r>
    <w:r>
      <w:rPr>
        <w:rStyle w:val="17"/>
        <w:rFonts w:ascii="Times New Roman" w:hAnsi="Times New Roman" w:cs="Times New Roman"/>
        <w:sz w:val="28"/>
        <w:szCs w:val="28"/>
      </w:rPr>
      <w:fldChar w:fldCharType="separate"/>
    </w:r>
    <w:r>
      <w:rPr>
        <w:rStyle w:val="17"/>
        <w:rFonts w:ascii="Times New Roman" w:hAnsi="Times New Roman" w:cs="Times New Roman"/>
        <w:sz w:val="28"/>
        <w:szCs w:val="28"/>
      </w:rPr>
      <w:t>10</w:t>
    </w:r>
    <w:r>
      <w:rPr>
        <w:rStyle w:val="17"/>
        <w:rFonts w:ascii="Times New Roman" w:hAnsi="Times New Roman" w:cs="Times New Roman"/>
        <w:sz w:val="28"/>
        <w:szCs w:val="28"/>
      </w:rPr>
      <w:fldChar w:fldCharType="end"/>
    </w:r>
    <w:r>
      <w:rPr>
        <w:rStyle w:val="17"/>
        <w:rFonts w:ascii="宋体" w:hAnsi="宋体" w:eastAsia="宋体" w:cs="宋体"/>
        <w:sz w:val="28"/>
        <w:szCs w:val="28"/>
      </w:rPr>
      <w:t xml:space="preserve"> —</w:t>
    </w:r>
    <w:r>
      <w:rPr>
        <w:rStyle w:val="17"/>
        <w:rFonts w:ascii="宋体" w:hAnsi="宋体" w:eastAsia="宋体" w:cs="宋体"/>
        <w:color w:val="FFFFFF"/>
        <w:sz w:val="28"/>
        <w:szCs w:val="28"/>
      </w:rPr>
      <w:t>—</w:t>
    </w:r>
  </w:p>
  <w:p>
    <w:pPr>
      <w:pStyle w:val="9"/>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4A5"/>
    <w:rsid w:val="000008D3"/>
    <w:rsid w:val="000013A7"/>
    <w:rsid w:val="000016C2"/>
    <w:rsid w:val="000016F2"/>
    <w:rsid w:val="000018FB"/>
    <w:rsid w:val="00001A60"/>
    <w:rsid w:val="00002075"/>
    <w:rsid w:val="000023FC"/>
    <w:rsid w:val="000024B3"/>
    <w:rsid w:val="0000433D"/>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779"/>
    <w:rsid w:val="000163AD"/>
    <w:rsid w:val="00016626"/>
    <w:rsid w:val="0001685A"/>
    <w:rsid w:val="00016A91"/>
    <w:rsid w:val="00016C25"/>
    <w:rsid w:val="00016F76"/>
    <w:rsid w:val="000179C6"/>
    <w:rsid w:val="00017A47"/>
    <w:rsid w:val="00017FBD"/>
    <w:rsid w:val="00020DE2"/>
    <w:rsid w:val="00021521"/>
    <w:rsid w:val="00022199"/>
    <w:rsid w:val="00022326"/>
    <w:rsid w:val="00022812"/>
    <w:rsid w:val="00023C1A"/>
    <w:rsid w:val="00023D0A"/>
    <w:rsid w:val="000240FA"/>
    <w:rsid w:val="00025644"/>
    <w:rsid w:val="00025AFA"/>
    <w:rsid w:val="00025ECD"/>
    <w:rsid w:val="000262A0"/>
    <w:rsid w:val="00026448"/>
    <w:rsid w:val="00026FEC"/>
    <w:rsid w:val="00027255"/>
    <w:rsid w:val="00027FDD"/>
    <w:rsid w:val="00030B5C"/>
    <w:rsid w:val="00031AA4"/>
    <w:rsid w:val="00032B43"/>
    <w:rsid w:val="00035714"/>
    <w:rsid w:val="0003600E"/>
    <w:rsid w:val="0003658D"/>
    <w:rsid w:val="000378DD"/>
    <w:rsid w:val="000409F5"/>
    <w:rsid w:val="0004156A"/>
    <w:rsid w:val="00043031"/>
    <w:rsid w:val="00043572"/>
    <w:rsid w:val="000439B3"/>
    <w:rsid w:val="00044749"/>
    <w:rsid w:val="00046FD5"/>
    <w:rsid w:val="000500C6"/>
    <w:rsid w:val="00050ADC"/>
    <w:rsid w:val="00050E9F"/>
    <w:rsid w:val="00050F5A"/>
    <w:rsid w:val="00050FB2"/>
    <w:rsid w:val="00052018"/>
    <w:rsid w:val="000527E0"/>
    <w:rsid w:val="00052EB1"/>
    <w:rsid w:val="00053331"/>
    <w:rsid w:val="00053B36"/>
    <w:rsid w:val="000545A4"/>
    <w:rsid w:val="000547A2"/>
    <w:rsid w:val="00054937"/>
    <w:rsid w:val="00056F02"/>
    <w:rsid w:val="000603DC"/>
    <w:rsid w:val="00061581"/>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38A"/>
    <w:rsid w:val="00071B85"/>
    <w:rsid w:val="00071C14"/>
    <w:rsid w:val="00073093"/>
    <w:rsid w:val="0007425F"/>
    <w:rsid w:val="00075AE7"/>
    <w:rsid w:val="000760FF"/>
    <w:rsid w:val="00076AF9"/>
    <w:rsid w:val="00080183"/>
    <w:rsid w:val="000811E1"/>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24B0"/>
    <w:rsid w:val="00092520"/>
    <w:rsid w:val="00092A37"/>
    <w:rsid w:val="00093418"/>
    <w:rsid w:val="00093BC4"/>
    <w:rsid w:val="00093F87"/>
    <w:rsid w:val="0009562B"/>
    <w:rsid w:val="000965A2"/>
    <w:rsid w:val="00096EE7"/>
    <w:rsid w:val="00097A1B"/>
    <w:rsid w:val="000A0EAE"/>
    <w:rsid w:val="000A12A8"/>
    <w:rsid w:val="000A1665"/>
    <w:rsid w:val="000A1A6E"/>
    <w:rsid w:val="000A1DE5"/>
    <w:rsid w:val="000A27C5"/>
    <w:rsid w:val="000A3115"/>
    <w:rsid w:val="000A32E6"/>
    <w:rsid w:val="000A39D3"/>
    <w:rsid w:val="000A3BAC"/>
    <w:rsid w:val="000A4369"/>
    <w:rsid w:val="000A5EAD"/>
    <w:rsid w:val="000A6145"/>
    <w:rsid w:val="000A65A6"/>
    <w:rsid w:val="000A6F7E"/>
    <w:rsid w:val="000A7130"/>
    <w:rsid w:val="000A765C"/>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1D2"/>
    <w:rsid w:val="000B7566"/>
    <w:rsid w:val="000B7F2C"/>
    <w:rsid w:val="000C049A"/>
    <w:rsid w:val="000C0FF6"/>
    <w:rsid w:val="000C1682"/>
    <w:rsid w:val="000C2208"/>
    <w:rsid w:val="000C23C9"/>
    <w:rsid w:val="000C2817"/>
    <w:rsid w:val="000C339A"/>
    <w:rsid w:val="000C4718"/>
    <w:rsid w:val="000C4A75"/>
    <w:rsid w:val="000C5D37"/>
    <w:rsid w:val="000C5DF1"/>
    <w:rsid w:val="000C6967"/>
    <w:rsid w:val="000C6EA6"/>
    <w:rsid w:val="000C7550"/>
    <w:rsid w:val="000D1312"/>
    <w:rsid w:val="000D1CB4"/>
    <w:rsid w:val="000D2BCC"/>
    <w:rsid w:val="000D2BED"/>
    <w:rsid w:val="000D33C9"/>
    <w:rsid w:val="000D3F5A"/>
    <w:rsid w:val="000D4426"/>
    <w:rsid w:val="000D4CB7"/>
    <w:rsid w:val="000D4FFF"/>
    <w:rsid w:val="000D5EA4"/>
    <w:rsid w:val="000D61C7"/>
    <w:rsid w:val="000D656A"/>
    <w:rsid w:val="000D6A1B"/>
    <w:rsid w:val="000E0097"/>
    <w:rsid w:val="000E0B46"/>
    <w:rsid w:val="000E16E8"/>
    <w:rsid w:val="000E2CF2"/>
    <w:rsid w:val="000E3AE8"/>
    <w:rsid w:val="000E405F"/>
    <w:rsid w:val="000E498E"/>
    <w:rsid w:val="000E5195"/>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5ADE"/>
    <w:rsid w:val="000F7F86"/>
    <w:rsid w:val="000F7FF3"/>
    <w:rsid w:val="00101583"/>
    <w:rsid w:val="0010211C"/>
    <w:rsid w:val="0010372B"/>
    <w:rsid w:val="00103EDF"/>
    <w:rsid w:val="001041AF"/>
    <w:rsid w:val="001050BA"/>
    <w:rsid w:val="00105433"/>
    <w:rsid w:val="00105D9A"/>
    <w:rsid w:val="001060BB"/>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A90"/>
    <w:rsid w:val="0014374E"/>
    <w:rsid w:val="00146A56"/>
    <w:rsid w:val="00147CC0"/>
    <w:rsid w:val="001505ED"/>
    <w:rsid w:val="00150669"/>
    <w:rsid w:val="001506D1"/>
    <w:rsid w:val="00150845"/>
    <w:rsid w:val="001509CD"/>
    <w:rsid w:val="00150C8B"/>
    <w:rsid w:val="001512C4"/>
    <w:rsid w:val="001518BD"/>
    <w:rsid w:val="00151FDD"/>
    <w:rsid w:val="001531FD"/>
    <w:rsid w:val="001538E3"/>
    <w:rsid w:val="00155276"/>
    <w:rsid w:val="00155EAE"/>
    <w:rsid w:val="00155F83"/>
    <w:rsid w:val="001567D4"/>
    <w:rsid w:val="0015695B"/>
    <w:rsid w:val="00156BFE"/>
    <w:rsid w:val="0015705E"/>
    <w:rsid w:val="00157CF5"/>
    <w:rsid w:val="001601DC"/>
    <w:rsid w:val="00160308"/>
    <w:rsid w:val="00161244"/>
    <w:rsid w:val="00162DCE"/>
    <w:rsid w:val="00163384"/>
    <w:rsid w:val="001636FA"/>
    <w:rsid w:val="001637B3"/>
    <w:rsid w:val="0016394B"/>
    <w:rsid w:val="00163B98"/>
    <w:rsid w:val="00163F76"/>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524"/>
    <w:rsid w:val="00193E26"/>
    <w:rsid w:val="00194C64"/>
    <w:rsid w:val="00195C53"/>
    <w:rsid w:val="00197289"/>
    <w:rsid w:val="001A147D"/>
    <w:rsid w:val="001A18A2"/>
    <w:rsid w:val="001A2520"/>
    <w:rsid w:val="001A26F9"/>
    <w:rsid w:val="001A27B7"/>
    <w:rsid w:val="001A2F48"/>
    <w:rsid w:val="001A5146"/>
    <w:rsid w:val="001A6057"/>
    <w:rsid w:val="001A7CED"/>
    <w:rsid w:val="001B0582"/>
    <w:rsid w:val="001B058E"/>
    <w:rsid w:val="001B06DF"/>
    <w:rsid w:val="001B06F1"/>
    <w:rsid w:val="001B088C"/>
    <w:rsid w:val="001B09A8"/>
    <w:rsid w:val="001B1AF5"/>
    <w:rsid w:val="001B1E9D"/>
    <w:rsid w:val="001B37F3"/>
    <w:rsid w:val="001B38CA"/>
    <w:rsid w:val="001B3EC4"/>
    <w:rsid w:val="001B5808"/>
    <w:rsid w:val="001B5F7C"/>
    <w:rsid w:val="001B619C"/>
    <w:rsid w:val="001B7112"/>
    <w:rsid w:val="001B750D"/>
    <w:rsid w:val="001B759A"/>
    <w:rsid w:val="001C0365"/>
    <w:rsid w:val="001C09CC"/>
    <w:rsid w:val="001C0BB7"/>
    <w:rsid w:val="001C1683"/>
    <w:rsid w:val="001C24A4"/>
    <w:rsid w:val="001C26C6"/>
    <w:rsid w:val="001C39A3"/>
    <w:rsid w:val="001C3F74"/>
    <w:rsid w:val="001C5825"/>
    <w:rsid w:val="001C603B"/>
    <w:rsid w:val="001C617D"/>
    <w:rsid w:val="001C77D0"/>
    <w:rsid w:val="001D0C56"/>
    <w:rsid w:val="001D0C5E"/>
    <w:rsid w:val="001D1606"/>
    <w:rsid w:val="001D20BC"/>
    <w:rsid w:val="001D269D"/>
    <w:rsid w:val="001D32FE"/>
    <w:rsid w:val="001D345F"/>
    <w:rsid w:val="001D3982"/>
    <w:rsid w:val="001D4498"/>
    <w:rsid w:val="001D4949"/>
    <w:rsid w:val="001D4BDE"/>
    <w:rsid w:val="001D510C"/>
    <w:rsid w:val="001D58B6"/>
    <w:rsid w:val="001D5C98"/>
    <w:rsid w:val="001D64C4"/>
    <w:rsid w:val="001D659C"/>
    <w:rsid w:val="001D669F"/>
    <w:rsid w:val="001D6A45"/>
    <w:rsid w:val="001D6B0C"/>
    <w:rsid w:val="001D7AA1"/>
    <w:rsid w:val="001E049F"/>
    <w:rsid w:val="001E0FD2"/>
    <w:rsid w:val="001E127C"/>
    <w:rsid w:val="001E1BBE"/>
    <w:rsid w:val="001E24E2"/>
    <w:rsid w:val="001E28C7"/>
    <w:rsid w:val="001E2AB5"/>
    <w:rsid w:val="001E4CD5"/>
    <w:rsid w:val="001E547D"/>
    <w:rsid w:val="001E56B4"/>
    <w:rsid w:val="001E5969"/>
    <w:rsid w:val="001E5F34"/>
    <w:rsid w:val="001E6B87"/>
    <w:rsid w:val="001E7E8D"/>
    <w:rsid w:val="001F18F8"/>
    <w:rsid w:val="001F22FE"/>
    <w:rsid w:val="001F2357"/>
    <w:rsid w:val="001F2869"/>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F14"/>
    <w:rsid w:val="00244636"/>
    <w:rsid w:val="00244713"/>
    <w:rsid w:val="00244EE6"/>
    <w:rsid w:val="00247054"/>
    <w:rsid w:val="002509F9"/>
    <w:rsid w:val="002515BE"/>
    <w:rsid w:val="00252278"/>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1744"/>
    <w:rsid w:val="002920F0"/>
    <w:rsid w:val="0029226D"/>
    <w:rsid w:val="002932EA"/>
    <w:rsid w:val="002938CC"/>
    <w:rsid w:val="00294421"/>
    <w:rsid w:val="00294C98"/>
    <w:rsid w:val="00294E4B"/>
    <w:rsid w:val="002959CD"/>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3788"/>
    <w:rsid w:val="002B43F7"/>
    <w:rsid w:val="002B53D1"/>
    <w:rsid w:val="002B667E"/>
    <w:rsid w:val="002B6C77"/>
    <w:rsid w:val="002B7F83"/>
    <w:rsid w:val="002C0B09"/>
    <w:rsid w:val="002C2303"/>
    <w:rsid w:val="002C2ACB"/>
    <w:rsid w:val="002C2C70"/>
    <w:rsid w:val="002C3247"/>
    <w:rsid w:val="002C64C5"/>
    <w:rsid w:val="002C71B6"/>
    <w:rsid w:val="002C71C4"/>
    <w:rsid w:val="002C73CB"/>
    <w:rsid w:val="002C7F6E"/>
    <w:rsid w:val="002D051D"/>
    <w:rsid w:val="002D0A7C"/>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A8E"/>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58B7"/>
    <w:rsid w:val="00307B30"/>
    <w:rsid w:val="00307E5A"/>
    <w:rsid w:val="003112FB"/>
    <w:rsid w:val="00311C66"/>
    <w:rsid w:val="00312247"/>
    <w:rsid w:val="00312876"/>
    <w:rsid w:val="00312C7B"/>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38E9"/>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F98"/>
    <w:rsid w:val="00345811"/>
    <w:rsid w:val="00346668"/>
    <w:rsid w:val="00346AA2"/>
    <w:rsid w:val="00347303"/>
    <w:rsid w:val="00347651"/>
    <w:rsid w:val="00347B4B"/>
    <w:rsid w:val="00350ACE"/>
    <w:rsid w:val="003512E9"/>
    <w:rsid w:val="00351E70"/>
    <w:rsid w:val="00351E78"/>
    <w:rsid w:val="0035248C"/>
    <w:rsid w:val="003527E7"/>
    <w:rsid w:val="00352834"/>
    <w:rsid w:val="0035309A"/>
    <w:rsid w:val="003536BC"/>
    <w:rsid w:val="00353A3B"/>
    <w:rsid w:val="00353F65"/>
    <w:rsid w:val="003546C8"/>
    <w:rsid w:val="003556A8"/>
    <w:rsid w:val="00355D2D"/>
    <w:rsid w:val="00356117"/>
    <w:rsid w:val="003565D7"/>
    <w:rsid w:val="00356BAA"/>
    <w:rsid w:val="0035783E"/>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445A"/>
    <w:rsid w:val="003956FF"/>
    <w:rsid w:val="0039570A"/>
    <w:rsid w:val="00395C42"/>
    <w:rsid w:val="003961EB"/>
    <w:rsid w:val="00396840"/>
    <w:rsid w:val="0039746E"/>
    <w:rsid w:val="0039754D"/>
    <w:rsid w:val="003A0912"/>
    <w:rsid w:val="003A23B1"/>
    <w:rsid w:val="003A28EF"/>
    <w:rsid w:val="003A2E1C"/>
    <w:rsid w:val="003A3AEB"/>
    <w:rsid w:val="003A43C4"/>
    <w:rsid w:val="003A4CDA"/>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5258"/>
    <w:rsid w:val="003C5EA8"/>
    <w:rsid w:val="003C6A08"/>
    <w:rsid w:val="003C6EA0"/>
    <w:rsid w:val="003C6F03"/>
    <w:rsid w:val="003C736D"/>
    <w:rsid w:val="003C7429"/>
    <w:rsid w:val="003C745D"/>
    <w:rsid w:val="003C7DAD"/>
    <w:rsid w:val="003C7DE7"/>
    <w:rsid w:val="003D04C2"/>
    <w:rsid w:val="003D06C3"/>
    <w:rsid w:val="003D06C5"/>
    <w:rsid w:val="003D0810"/>
    <w:rsid w:val="003D2787"/>
    <w:rsid w:val="003D27FF"/>
    <w:rsid w:val="003D2AA6"/>
    <w:rsid w:val="003D32FD"/>
    <w:rsid w:val="003D4E8C"/>
    <w:rsid w:val="003D5264"/>
    <w:rsid w:val="003D56B9"/>
    <w:rsid w:val="003D57AA"/>
    <w:rsid w:val="003D5AED"/>
    <w:rsid w:val="003D5B1E"/>
    <w:rsid w:val="003D5C48"/>
    <w:rsid w:val="003D6E2E"/>
    <w:rsid w:val="003D7A46"/>
    <w:rsid w:val="003E09AD"/>
    <w:rsid w:val="003E0DB4"/>
    <w:rsid w:val="003E163A"/>
    <w:rsid w:val="003E1E2B"/>
    <w:rsid w:val="003E320B"/>
    <w:rsid w:val="003E32DC"/>
    <w:rsid w:val="003E34DD"/>
    <w:rsid w:val="003E3726"/>
    <w:rsid w:val="003E3B1B"/>
    <w:rsid w:val="003E404D"/>
    <w:rsid w:val="003E45AA"/>
    <w:rsid w:val="003E6376"/>
    <w:rsid w:val="003E6443"/>
    <w:rsid w:val="003E65BE"/>
    <w:rsid w:val="003E6A97"/>
    <w:rsid w:val="003E6D14"/>
    <w:rsid w:val="003E70EB"/>
    <w:rsid w:val="003F2444"/>
    <w:rsid w:val="003F35C2"/>
    <w:rsid w:val="003F39FD"/>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50D"/>
    <w:rsid w:val="004167E4"/>
    <w:rsid w:val="00417AD7"/>
    <w:rsid w:val="00420759"/>
    <w:rsid w:val="00421016"/>
    <w:rsid w:val="004218B2"/>
    <w:rsid w:val="0042269F"/>
    <w:rsid w:val="00422782"/>
    <w:rsid w:val="00423260"/>
    <w:rsid w:val="0042392E"/>
    <w:rsid w:val="00423D11"/>
    <w:rsid w:val="00424529"/>
    <w:rsid w:val="00424A87"/>
    <w:rsid w:val="00424CE8"/>
    <w:rsid w:val="00426E00"/>
    <w:rsid w:val="00427CCA"/>
    <w:rsid w:val="00427D0B"/>
    <w:rsid w:val="00427D45"/>
    <w:rsid w:val="00430A5A"/>
    <w:rsid w:val="00430EA2"/>
    <w:rsid w:val="00431961"/>
    <w:rsid w:val="004327D3"/>
    <w:rsid w:val="00432940"/>
    <w:rsid w:val="00433E0E"/>
    <w:rsid w:val="00433EE8"/>
    <w:rsid w:val="00434C61"/>
    <w:rsid w:val="00435DA0"/>
    <w:rsid w:val="00435F12"/>
    <w:rsid w:val="004363C2"/>
    <w:rsid w:val="00436C1D"/>
    <w:rsid w:val="004375C6"/>
    <w:rsid w:val="00437A0E"/>
    <w:rsid w:val="00437A15"/>
    <w:rsid w:val="00440FCF"/>
    <w:rsid w:val="00441828"/>
    <w:rsid w:val="00441D99"/>
    <w:rsid w:val="0044215D"/>
    <w:rsid w:val="00442218"/>
    <w:rsid w:val="00442FB5"/>
    <w:rsid w:val="0044450F"/>
    <w:rsid w:val="00444695"/>
    <w:rsid w:val="00444749"/>
    <w:rsid w:val="00445DB5"/>
    <w:rsid w:val="00446426"/>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21D8"/>
    <w:rsid w:val="00463100"/>
    <w:rsid w:val="00463F35"/>
    <w:rsid w:val="00463FE3"/>
    <w:rsid w:val="0046675C"/>
    <w:rsid w:val="00466E96"/>
    <w:rsid w:val="004705E3"/>
    <w:rsid w:val="00470D82"/>
    <w:rsid w:val="004712B0"/>
    <w:rsid w:val="00471B00"/>
    <w:rsid w:val="00472F2C"/>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908F1"/>
    <w:rsid w:val="00491020"/>
    <w:rsid w:val="0049121C"/>
    <w:rsid w:val="00491BE9"/>
    <w:rsid w:val="00491E85"/>
    <w:rsid w:val="00493374"/>
    <w:rsid w:val="004937AA"/>
    <w:rsid w:val="0049448D"/>
    <w:rsid w:val="00494E7A"/>
    <w:rsid w:val="00495D11"/>
    <w:rsid w:val="00496816"/>
    <w:rsid w:val="00496E00"/>
    <w:rsid w:val="00497287"/>
    <w:rsid w:val="00497573"/>
    <w:rsid w:val="004976C5"/>
    <w:rsid w:val="004978C8"/>
    <w:rsid w:val="00497C3A"/>
    <w:rsid w:val="00497C94"/>
    <w:rsid w:val="004A02D6"/>
    <w:rsid w:val="004A045B"/>
    <w:rsid w:val="004A1574"/>
    <w:rsid w:val="004A255E"/>
    <w:rsid w:val="004A5B9E"/>
    <w:rsid w:val="004B0832"/>
    <w:rsid w:val="004B0B77"/>
    <w:rsid w:val="004B21A7"/>
    <w:rsid w:val="004B28A9"/>
    <w:rsid w:val="004B4079"/>
    <w:rsid w:val="004B4371"/>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7D6"/>
    <w:rsid w:val="004D28A8"/>
    <w:rsid w:val="004D2D0D"/>
    <w:rsid w:val="004D35DF"/>
    <w:rsid w:val="004D4469"/>
    <w:rsid w:val="004D5022"/>
    <w:rsid w:val="004D64EA"/>
    <w:rsid w:val="004D6518"/>
    <w:rsid w:val="004D73C2"/>
    <w:rsid w:val="004D78B4"/>
    <w:rsid w:val="004D7EDC"/>
    <w:rsid w:val="004E0580"/>
    <w:rsid w:val="004E073B"/>
    <w:rsid w:val="004E1ED1"/>
    <w:rsid w:val="004E231F"/>
    <w:rsid w:val="004E25DD"/>
    <w:rsid w:val="004E26D2"/>
    <w:rsid w:val="004E2747"/>
    <w:rsid w:val="004E2BB2"/>
    <w:rsid w:val="004E38F1"/>
    <w:rsid w:val="004E4860"/>
    <w:rsid w:val="004E49F7"/>
    <w:rsid w:val="004E4BC1"/>
    <w:rsid w:val="004E52FC"/>
    <w:rsid w:val="004E5441"/>
    <w:rsid w:val="004E5C2E"/>
    <w:rsid w:val="004E60A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88E"/>
    <w:rsid w:val="00501DB4"/>
    <w:rsid w:val="00502D4D"/>
    <w:rsid w:val="005033BD"/>
    <w:rsid w:val="00503B18"/>
    <w:rsid w:val="00503B35"/>
    <w:rsid w:val="00504B56"/>
    <w:rsid w:val="005054BF"/>
    <w:rsid w:val="0050552A"/>
    <w:rsid w:val="005059C3"/>
    <w:rsid w:val="00505C1E"/>
    <w:rsid w:val="00506A30"/>
    <w:rsid w:val="00506AE9"/>
    <w:rsid w:val="00506B28"/>
    <w:rsid w:val="00507AF3"/>
    <w:rsid w:val="00507BCB"/>
    <w:rsid w:val="0051015C"/>
    <w:rsid w:val="00510676"/>
    <w:rsid w:val="005106BB"/>
    <w:rsid w:val="005110BF"/>
    <w:rsid w:val="00511D64"/>
    <w:rsid w:val="00512E27"/>
    <w:rsid w:val="005132AD"/>
    <w:rsid w:val="005137D5"/>
    <w:rsid w:val="00513A3B"/>
    <w:rsid w:val="00514BE0"/>
    <w:rsid w:val="00514D81"/>
    <w:rsid w:val="0051575F"/>
    <w:rsid w:val="005165A6"/>
    <w:rsid w:val="00516E9E"/>
    <w:rsid w:val="005209F1"/>
    <w:rsid w:val="005210B5"/>
    <w:rsid w:val="005212BC"/>
    <w:rsid w:val="005215A4"/>
    <w:rsid w:val="0052166E"/>
    <w:rsid w:val="00521F56"/>
    <w:rsid w:val="005222C4"/>
    <w:rsid w:val="00522761"/>
    <w:rsid w:val="00522A1E"/>
    <w:rsid w:val="00522DE3"/>
    <w:rsid w:val="00523476"/>
    <w:rsid w:val="0052382D"/>
    <w:rsid w:val="00523B71"/>
    <w:rsid w:val="00524310"/>
    <w:rsid w:val="00524BB7"/>
    <w:rsid w:val="00525139"/>
    <w:rsid w:val="0052518A"/>
    <w:rsid w:val="0052553F"/>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508F"/>
    <w:rsid w:val="00545F82"/>
    <w:rsid w:val="00545FD3"/>
    <w:rsid w:val="005462F5"/>
    <w:rsid w:val="00546537"/>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116"/>
    <w:rsid w:val="005574CF"/>
    <w:rsid w:val="00560465"/>
    <w:rsid w:val="005604AE"/>
    <w:rsid w:val="0056076E"/>
    <w:rsid w:val="005608F0"/>
    <w:rsid w:val="00560DB7"/>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7B98"/>
    <w:rsid w:val="005C0A52"/>
    <w:rsid w:val="005C132D"/>
    <w:rsid w:val="005C275A"/>
    <w:rsid w:val="005C27D6"/>
    <w:rsid w:val="005C2CA1"/>
    <w:rsid w:val="005C3A0B"/>
    <w:rsid w:val="005C3C5E"/>
    <w:rsid w:val="005C41E5"/>
    <w:rsid w:val="005C5734"/>
    <w:rsid w:val="005C5C66"/>
    <w:rsid w:val="005C5CB7"/>
    <w:rsid w:val="005C5F6D"/>
    <w:rsid w:val="005C5F92"/>
    <w:rsid w:val="005C758A"/>
    <w:rsid w:val="005C7834"/>
    <w:rsid w:val="005C7B51"/>
    <w:rsid w:val="005C7E96"/>
    <w:rsid w:val="005D18C5"/>
    <w:rsid w:val="005D21EF"/>
    <w:rsid w:val="005D2791"/>
    <w:rsid w:val="005D3C46"/>
    <w:rsid w:val="005D6305"/>
    <w:rsid w:val="005D6717"/>
    <w:rsid w:val="005D69A4"/>
    <w:rsid w:val="005D7425"/>
    <w:rsid w:val="005D7A47"/>
    <w:rsid w:val="005E06EF"/>
    <w:rsid w:val="005E096E"/>
    <w:rsid w:val="005E1101"/>
    <w:rsid w:val="005E1141"/>
    <w:rsid w:val="005E2138"/>
    <w:rsid w:val="005E28A4"/>
    <w:rsid w:val="005E3668"/>
    <w:rsid w:val="005E3F44"/>
    <w:rsid w:val="005E4426"/>
    <w:rsid w:val="005E4840"/>
    <w:rsid w:val="005E534B"/>
    <w:rsid w:val="005E5988"/>
    <w:rsid w:val="005E5CBF"/>
    <w:rsid w:val="005E6171"/>
    <w:rsid w:val="005E6848"/>
    <w:rsid w:val="005E74D8"/>
    <w:rsid w:val="005E76C3"/>
    <w:rsid w:val="005E7C18"/>
    <w:rsid w:val="005F03A8"/>
    <w:rsid w:val="005F0B5E"/>
    <w:rsid w:val="005F190B"/>
    <w:rsid w:val="005F22BA"/>
    <w:rsid w:val="005F25DF"/>
    <w:rsid w:val="005F31E6"/>
    <w:rsid w:val="005F3C92"/>
    <w:rsid w:val="005F47CF"/>
    <w:rsid w:val="005F554C"/>
    <w:rsid w:val="005F56BE"/>
    <w:rsid w:val="005F59D8"/>
    <w:rsid w:val="005F5DC1"/>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2D84"/>
    <w:rsid w:val="00643666"/>
    <w:rsid w:val="00644677"/>
    <w:rsid w:val="00644FDF"/>
    <w:rsid w:val="006450C5"/>
    <w:rsid w:val="00646BC6"/>
    <w:rsid w:val="006503EB"/>
    <w:rsid w:val="00651025"/>
    <w:rsid w:val="006513B3"/>
    <w:rsid w:val="00651E05"/>
    <w:rsid w:val="00652191"/>
    <w:rsid w:val="00652BE1"/>
    <w:rsid w:val="00652D7C"/>
    <w:rsid w:val="00653183"/>
    <w:rsid w:val="0065330F"/>
    <w:rsid w:val="006564C1"/>
    <w:rsid w:val="0065726E"/>
    <w:rsid w:val="00657592"/>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2DF5"/>
    <w:rsid w:val="00673C93"/>
    <w:rsid w:val="00674682"/>
    <w:rsid w:val="00674C1D"/>
    <w:rsid w:val="006755B9"/>
    <w:rsid w:val="00675CF8"/>
    <w:rsid w:val="006766CA"/>
    <w:rsid w:val="00676784"/>
    <w:rsid w:val="00677138"/>
    <w:rsid w:val="006772AC"/>
    <w:rsid w:val="00677470"/>
    <w:rsid w:val="00677D9C"/>
    <w:rsid w:val="00677FDB"/>
    <w:rsid w:val="0068023E"/>
    <w:rsid w:val="00680A4F"/>
    <w:rsid w:val="00680D3A"/>
    <w:rsid w:val="00681834"/>
    <w:rsid w:val="006823A5"/>
    <w:rsid w:val="006827C6"/>
    <w:rsid w:val="0068300F"/>
    <w:rsid w:val="006837DE"/>
    <w:rsid w:val="00684216"/>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52C8"/>
    <w:rsid w:val="006B6005"/>
    <w:rsid w:val="006B646B"/>
    <w:rsid w:val="006B651E"/>
    <w:rsid w:val="006B6AD5"/>
    <w:rsid w:val="006B7A5F"/>
    <w:rsid w:val="006B7C53"/>
    <w:rsid w:val="006C15BD"/>
    <w:rsid w:val="006C1A6A"/>
    <w:rsid w:val="006C1DE4"/>
    <w:rsid w:val="006C28B3"/>
    <w:rsid w:val="006C291E"/>
    <w:rsid w:val="006C306C"/>
    <w:rsid w:val="006C4D81"/>
    <w:rsid w:val="006C5F65"/>
    <w:rsid w:val="006C5F71"/>
    <w:rsid w:val="006C6444"/>
    <w:rsid w:val="006C670E"/>
    <w:rsid w:val="006C68B4"/>
    <w:rsid w:val="006C6D31"/>
    <w:rsid w:val="006C6F83"/>
    <w:rsid w:val="006C7304"/>
    <w:rsid w:val="006C749D"/>
    <w:rsid w:val="006C7A0C"/>
    <w:rsid w:val="006D08D2"/>
    <w:rsid w:val="006D1CE9"/>
    <w:rsid w:val="006D2135"/>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2A25"/>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96E"/>
    <w:rsid w:val="00700582"/>
    <w:rsid w:val="0070149A"/>
    <w:rsid w:val="00701632"/>
    <w:rsid w:val="00701F91"/>
    <w:rsid w:val="007023A6"/>
    <w:rsid w:val="00702D0B"/>
    <w:rsid w:val="007037F4"/>
    <w:rsid w:val="00704467"/>
    <w:rsid w:val="0070468A"/>
    <w:rsid w:val="007048DB"/>
    <w:rsid w:val="00705025"/>
    <w:rsid w:val="00705480"/>
    <w:rsid w:val="00707947"/>
    <w:rsid w:val="00707D9B"/>
    <w:rsid w:val="00710D37"/>
    <w:rsid w:val="0071137A"/>
    <w:rsid w:val="007121AF"/>
    <w:rsid w:val="00712AED"/>
    <w:rsid w:val="0071352C"/>
    <w:rsid w:val="00713626"/>
    <w:rsid w:val="00713BBE"/>
    <w:rsid w:val="00715E03"/>
    <w:rsid w:val="00716201"/>
    <w:rsid w:val="00716410"/>
    <w:rsid w:val="00716902"/>
    <w:rsid w:val="00716D9F"/>
    <w:rsid w:val="00717735"/>
    <w:rsid w:val="007177CD"/>
    <w:rsid w:val="00717A02"/>
    <w:rsid w:val="00717C74"/>
    <w:rsid w:val="0072107A"/>
    <w:rsid w:val="007210AE"/>
    <w:rsid w:val="0072157B"/>
    <w:rsid w:val="00721C6B"/>
    <w:rsid w:val="00722199"/>
    <w:rsid w:val="00722D5E"/>
    <w:rsid w:val="00724118"/>
    <w:rsid w:val="007249C7"/>
    <w:rsid w:val="00724E4E"/>
    <w:rsid w:val="007268C0"/>
    <w:rsid w:val="00726D26"/>
    <w:rsid w:val="00730215"/>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20B5"/>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35"/>
    <w:rsid w:val="00777AD4"/>
    <w:rsid w:val="00777D99"/>
    <w:rsid w:val="00777EA8"/>
    <w:rsid w:val="00777EF5"/>
    <w:rsid w:val="007805A5"/>
    <w:rsid w:val="00780B1C"/>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208A"/>
    <w:rsid w:val="007A287A"/>
    <w:rsid w:val="007A2F56"/>
    <w:rsid w:val="007A2F8D"/>
    <w:rsid w:val="007A310F"/>
    <w:rsid w:val="007A31B9"/>
    <w:rsid w:val="007A3790"/>
    <w:rsid w:val="007A3A27"/>
    <w:rsid w:val="007A3B15"/>
    <w:rsid w:val="007A4609"/>
    <w:rsid w:val="007A4A9B"/>
    <w:rsid w:val="007A4B23"/>
    <w:rsid w:val="007A5A6F"/>
    <w:rsid w:val="007A63E9"/>
    <w:rsid w:val="007A6950"/>
    <w:rsid w:val="007A7041"/>
    <w:rsid w:val="007A7181"/>
    <w:rsid w:val="007A7A48"/>
    <w:rsid w:val="007A7E07"/>
    <w:rsid w:val="007B0157"/>
    <w:rsid w:val="007B0955"/>
    <w:rsid w:val="007B0C36"/>
    <w:rsid w:val="007B1EE8"/>
    <w:rsid w:val="007B2F41"/>
    <w:rsid w:val="007B37DA"/>
    <w:rsid w:val="007B385B"/>
    <w:rsid w:val="007B432D"/>
    <w:rsid w:val="007B4A1F"/>
    <w:rsid w:val="007B538C"/>
    <w:rsid w:val="007B5670"/>
    <w:rsid w:val="007B636A"/>
    <w:rsid w:val="007B7C57"/>
    <w:rsid w:val="007B7EDA"/>
    <w:rsid w:val="007C02B0"/>
    <w:rsid w:val="007C1B78"/>
    <w:rsid w:val="007C33AA"/>
    <w:rsid w:val="007C5398"/>
    <w:rsid w:val="007C62D5"/>
    <w:rsid w:val="007C6B59"/>
    <w:rsid w:val="007C6E95"/>
    <w:rsid w:val="007D0AAB"/>
    <w:rsid w:val="007D0AFB"/>
    <w:rsid w:val="007D103C"/>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5B09"/>
    <w:rsid w:val="007F6644"/>
    <w:rsid w:val="007F6D62"/>
    <w:rsid w:val="008004B0"/>
    <w:rsid w:val="008010AD"/>
    <w:rsid w:val="00802824"/>
    <w:rsid w:val="00802867"/>
    <w:rsid w:val="00802C02"/>
    <w:rsid w:val="00802C03"/>
    <w:rsid w:val="008032D5"/>
    <w:rsid w:val="0080554E"/>
    <w:rsid w:val="00805BC6"/>
    <w:rsid w:val="00806EC5"/>
    <w:rsid w:val="008077E9"/>
    <w:rsid w:val="00810175"/>
    <w:rsid w:val="00810BC2"/>
    <w:rsid w:val="00811703"/>
    <w:rsid w:val="008119A1"/>
    <w:rsid w:val="00813115"/>
    <w:rsid w:val="00813BFB"/>
    <w:rsid w:val="00813DEE"/>
    <w:rsid w:val="00813FC9"/>
    <w:rsid w:val="008142E0"/>
    <w:rsid w:val="00814E1E"/>
    <w:rsid w:val="008151E6"/>
    <w:rsid w:val="00816F11"/>
    <w:rsid w:val="008172E7"/>
    <w:rsid w:val="008176C5"/>
    <w:rsid w:val="008176E7"/>
    <w:rsid w:val="008204CE"/>
    <w:rsid w:val="00821148"/>
    <w:rsid w:val="00822186"/>
    <w:rsid w:val="00822240"/>
    <w:rsid w:val="0082224F"/>
    <w:rsid w:val="008224F4"/>
    <w:rsid w:val="00823124"/>
    <w:rsid w:val="008231C3"/>
    <w:rsid w:val="00823FF0"/>
    <w:rsid w:val="00824D89"/>
    <w:rsid w:val="00825B3A"/>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A0D"/>
    <w:rsid w:val="00846BC2"/>
    <w:rsid w:val="00846DB7"/>
    <w:rsid w:val="00847E3C"/>
    <w:rsid w:val="008505C5"/>
    <w:rsid w:val="00850CED"/>
    <w:rsid w:val="00851408"/>
    <w:rsid w:val="00853B08"/>
    <w:rsid w:val="00854402"/>
    <w:rsid w:val="008558AC"/>
    <w:rsid w:val="00856C5C"/>
    <w:rsid w:val="00856DD4"/>
    <w:rsid w:val="00863299"/>
    <w:rsid w:val="00863DFC"/>
    <w:rsid w:val="0086514E"/>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7B8"/>
    <w:rsid w:val="008772DB"/>
    <w:rsid w:val="0087793E"/>
    <w:rsid w:val="00877E16"/>
    <w:rsid w:val="0088013D"/>
    <w:rsid w:val="0088113B"/>
    <w:rsid w:val="00881B13"/>
    <w:rsid w:val="00882601"/>
    <w:rsid w:val="008829A1"/>
    <w:rsid w:val="00882EFB"/>
    <w:rsid w:val="00883712"/>
    <w:rsid w:val="00883EFB"/>
    <w:rsid w:val="00884248"/>
    <w:rsid w:val="008859A4"/>
    <w:rsid w:val="00885E2B"/>
    <w:rsid w:val="0088642B"/>
    <w:rsid w:val="00886BFD"/>
    <w:rsid w:val="00886F5C"/>
    <w:rsid w:val="00890112"/>
    <w:rsid w:val="00890BA3"/>
    <w:rsid w:val="008923ED"/>
    <w:rsid w:val="008927E4"/>
    <w:rsid w:val="00892AE4"/>
    <w:rsid w:val="00892FD6"/>
    <w:rsid w:val="00895E2D"/>
    <w:rsid w:val="00896105"/>
    <w:rsid w:val="008A02D7"/>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59FF"/>
    <w:rsid w:val="008B61DC"/>
    <w:rsid w:val="008B640B"/>
    <w:rsid w:val="008B6E5A"/>
    <w:rsid w:val="008B74CA"/>
    <w:rsid w:val="008B75B9"/>
    <w:rsid w:val="008B7FD1"/>
    <w:rsid w:val="008C0AF3"/>
    <w:rsid w:val="008C1AB0"/>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40F"/>
    <w:rsid w:val="008E0651"/>
    <w:rsid w:val="008E1554"/>
    <w:rsid w:val="008E2164"/>
    <w:rsid w:val="008E2200"/>
    <w:rsid w:val="008E336E"/>
    <w:rsid w:val="008E377F"/>
    <w:rsid w:val="008E4530"/>
    <w:rsid w:val="008E5791"/>
    <w:rsid w:val="008E5C3E"/>
    <w:rsid w:val="008E6AD0"/>
    <w:rsid w:val="008E6B08"/>
    <w:rsid w:val="008E6C69"/>
    <w:rsid w:val="008E6DBA"/>
    <w:rsid w:val="008E6F4A"/>
    <w:rsid w:val="008E7244"/>
    <w:rsid w:val="008E7DB3"/>
    <w:rsid w:val="008F0388"/>
    <w:rsid w:val="008F28F7"/>
    <w:rsid w:val="008F2942"/>
    <w:rsid w:val="008F3368"/>
    <w:rsid w:val="008F5790"/>
    <w:rsid w:val="008F5C01"/>
    <w:rsid w:val="008F624C"/>
    <w:rsid w:val="008F721F"/>
    <w:rsid w:val="00900761"/>
    <w:rsid w:val="00900AE0"/>
    <w:rsid w:val="0090111D"/>
    <w:rsid w:val="0090136C"/>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D00"/>
    <w:rsid w:val="009154D2"/>
    <w:rsid w:val="00915570"/>
    <w:rsid w:val="0091590A"/>
    <w:rsid w:val="0091706A"/>
    <w:rsid w:val="00917C3A"/>
    <w:rsid w:val="00920050"/>
    <w:rsid w:val="0092043A"/>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1B87"/>
    <w:rsid w:val="00952092"/>
    <w:rsid w:val="0095253F"/>
    <w:rsid w:val="0095295A"/>
    <w:rsid w:val="00952DDA"/>
    <w:rsid w:val="009531E9"/>
    <w:rsid w:val="0095433A"/>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3D83"/>
    <w:rsid w:val="00974B48"/>
    <w:rsid w:val="00974FFC"/>
    <w:rsid w:val="009751F1"/>
    <w:rsid w:val="009755DC"/>
    <w:rsid w:val="00975DA0"/>
    <w:rsid w:val="00976066"/>
    <w:rsid w:val="00976AF4"/>
    <w:rsid w:val="00977172"/>
    <w:rsid w:val="00977CF2"/>
    <w:rsid w:val="0098109A"/>
    <w:rsid w:val="009810A1"/>
    <w:rsid w:val="009819EE"/>
    <w:rsid w:val="0098255D"/>
    <w:rsid w:val="00982A52"/>
    <w:rsid w:val="00982CC1"/>
    <w:rsid w:val="009836AD"/>
    <w:rsid w:val="0098382B"/>
    <w:rsid w:val="009841F1"/>
    <w:rsid w:val="00984256"/>
    <w:rsid w:val="00984C79"/>
    <w:rsid w:val="009860DD"/>
    <w:rsid w:val="00986204"/>
    <w:rsid w:val="00986A6F"/>
    <w:rsid w:val="00987F6A"/>
    <w:rsid w:val="00990018"/>
    <w:rsid w:val="00990266"/>
    <w:rsid w:val="00990D5B"/>
    <w:rsid w:val="009911A7"/>
    <w:rsid w:val="009923AD"/>
    <w:rsid w:val="009926B5"/>
    <w:rsid w:val="00992BDA"/>
    <w:rsid w:val="009930ED"/>
    <w:rsid w:val="00993FFD"/>
    <w:rsid w:val="00995104"/>
    <w:rsid w:val="00997451"/>
    <w:rsid w:val="00997E91"/>
    <w:rsid w:val="00997FCE"/>
    <w:rsid w:val="009A1DEF"/>
    <w:rsid w:val="009A23AA"/>
    <w:rsid w:val="009A276F"/>
    <w:rsid w:val="009A3253"/>
    <w:rsid w:val="009A3ADC"/>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4E6F"/>
    <w:rsid w:val="009C5FA6"/>
    <w:rsid w:val="009C6936"/>
    <w:rsid w:val="009C6F9F"/>
    <w:rsid w:val="009C7223"/>
    <w:rsid w:val="009C756D"/>
    <w:rsid w:val="009C7707"/>
    <w:rsid w:val="009D00BA"/>
    <w:rsid w:val="009D067D"/>
    <w:rsid w:val="009D0938"/>
    <w:rsid w:val="009D0EDE"/>
    <w:rsid w:val="009D1174"/>
    <w:rsid w:val="009D17B1"/>
    <w:rsid w:val="009D1AC8"/>
    <w:rsid w:val="009D208B"/>
    <w:rsid w:val="009D2A68"/>
    <w:rsid w:val="009D2E3F"/>
    <w:rsid w:val="009D30D7"/>
    <w:rsid w:val="009D3246"/>
    <w:rsid w:val="009D39D3"/>
    <w:rsid w:val="009D3DB2"/>
    <w:rsid w:val="009D41AE"/>
    <w:rsid w:val="009D4CED"/>
    <w:rsid w:val="009D584D"/>
    <w:rsid w:val="009D68FA"/>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1F3B"/>
    <w:rsid w:val="009F36E7"/>
    <w:rsid w:val="009F3726"/>
    <w:rsid w:val="009F470E"/>
    <w:rsid w:val="009F4F86"/>
    <w:rsid w:val="009F54E9"/>
    <w:rsid w:val="009F58B4"/>
    <w:rsid w:val="009F5CA5"/>
    <w:rsid w:val="009F6889"/>
    <w:rsid w:val="009F7348"/>
    <w:rsid w:val="009F7DCC"/>
    <w:rsid w:val="009F7DF2"/>
    <w:rsid w:val="009F7F69"/>
    <w:rsid w:val="009F7F9E"/>
    <w:rsid w:val="00A00381"/>
    <w:rsid w:val="00A00639"/>
    <w:rsid w:val="00A00D8E"/>
    <w:rsid w:val="00A011BB"/>
    <w:rsid w:val="00A01BA4"/>
    <w:rsid w:val="00A0220D"/>
    <w:rsid w:val="00A024FD"/>
    <w:rsid w:val="00A04729"/>
    <w:rsid w:val="00A047CB"/>
    <w:rsid w:val="00A05448"/>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61A"/>
    <w:rsid w:val="00A277D7"/>
    <w:rsid w:val="00A27FAB"/>
    <w:rsid w:val="00A309D0"/>
    <w:rsid w:val="00A3138E"/>
    <w:rsid w:val="00A318AE"/>
    <w:rsid w:val="00A334E6"/>
    <w:rsid w:val="00A3380A"/>
    <w:rsid w:val="00A33C6E"/>
    <w:rsid w:val="00A33D88"/>
    <w:rsid w:val="00A33E84"/>
    <w:rsid w:val="00A3626E"/>
    <w:rsid w:val="00A379B9"/>
    <w:rsid w:val="00A409DC"/>
    <w:rsid w:val="00A40A48"/>
    <w:rsid w:val="00A41236"/>
    <w:rsid w:val="00A41D1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3D0B"/>
    <w:rsid w:val="00A9442B"/>
    <w:rsid w:val="00A94B9E"/>
    <w:rsid w:val="00A951F8"/>
    <w:rsid w:val="00A955E0"/>
    <w:rsid w:val="00A95644"/>
    <w:rsid w:val="00A95DE6"/>
    <w:rsid w:val="00A9731D"/>
    <w:rsid w:val="00A9778C"/>
    <w:rsid w:val="00A977D4"/>
    <w:rsid w:val="00A97B97"/>
    <w:rsid w:val="00A97E3B"/>
    <w:rsid w:val="00AA03D5"/>
    <w:rsid w:val="00AA103B"/>
    <w:rsid w:val="00AA1F3E"/>
    <w:rsid w:val="00AA3E62"/>
    <w:rsid w:val="00AA48C9"/>
    <w:rsid w:val="00AA57D7"/>
    <w:rsid w:val="00AA5843"/>
    <w:rsid w:val="00AA5BAB"/>
    <w:rsid w:val="00AA5BDD"/>
    <w:rsid w:val="00AA5F24"/>
    <w:rsid w:val="00AA6AD6"/>
    <w:rsid w:val="00AA7B48"/>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867"/>
    <w:rsid w:val="00AC2875"/>
    <w:rsid w:val="00AC2E98"/>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6C6"/>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AF6D3E"/>
    <w:rsid w:val="00B002E0"/>
    <w:rsid w:val="00B0093C"/>
    <w:rsid w:val="00B01F79"/>
    <w:rsid w:val="00B02879"/>
    <w:rsid w:val="00B0366F"/>
    <w:rsid w:val="00B036F9"/>
    <w:rsid w:val="00B03DD2"/>
    <w:rsid w:val="00B03E66"/>
    <w:rsid w:val="00B03F27"/>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20659"/>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394E"/>
    <w:rsid w:val="00B33DF7"/>
    <w:rsid w:val="00B357D4"/>
    <w:rsid w:val="00B36D64"/>
    <w:rsid w:val="00B37254"/>
    <w:rsid w:val="00B3776E"/>
    <w:rsid w:val="00B37DA8"/>
    <w:rsid w:val="00B40A18"/>
    <w:rsid w:val="00B41B00"/>
    <w:rsid w:val="00B420DC"/>
    <w:rsid w:val="00B42F3A"/>
    <w:rsid w:val="00B44D85"/>
    <w:rsid w:val="00B4540A"/>
    <w:rsid w:val="00B45BAA"/>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65FF"/>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5FA2"/>
    <w:rsid w:val="00B763E2"/>
    <w:rsid w:val="00B766CE"/>
    <w:rsid w:val="00B7767F"/>
    <w:rsid w:val="00B77E61"/>
    <w:rsid w:val="00B80244"/>
    <w:rsid w:val="00B805FF"/>
    <w:rsid w:val="00B80F0B"/>
    <w:rsid w:val="00B81263"/>
    <w:rsid w:val="00B81380"/>
    <w:rsid w:val="00B8240B"/>
    <w:rsid w:val="00B82A98"/>
    <w:rsid w:val="00B83F6F"/>
    <w:rsid w:val="00B84463"/>
    <w:rsid w:val="00B84E51"/>
    <w:rsid w:val="00B85505"/>
    <w:rsid w:val="00B85A4F"/>
    <w:rsid w:val="00B8680C"/>
    <w:rsid w:val="00B86EB3"/>
    <w:rsid w:val="00B878D5"/>
    <w:rsid w:val="00B907ED"/>
    <w:rsid w:val="00B91D9D"/>
    <w:rsid w:val="00B92C31"/>
    <w:rsid w:val="00B92D1A"/>
    <w:rsid w:val="00B9350F"/>
    <w:rsid w:val="00B9399F"/>
    <w:rsid w:val="00B9401B"/>
    <w:rsid w:val="00B94709"/>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6D"/>
    <w:rsid w:val="00BB0DA2"/>
    <w:rsid w:val="00BB14D6"/>
    <w:rsid w:val="00BB1A58"/>
    <w:rsid w:val="00BB20A7"/>
    <w:rsid w:val="00BB3332"/>
    <w:rsid w:val="00BB348F"/>
    <w:rsid w:val="00BB50CF"/>
    <w:rsid w:val="00BB537C"/>
    <w:rsid w:val="00BB5D2B"/>
    <w:rsid w:val="00BB5ECD"/>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260"/>
    <w:rsid w:val="00BD3726"/>
    <w:rsid w:val="00BD372F"/>
    <w:rsid w:val="00BD3D65"/>
    <w:rsid w:val="00BD3DAA"/>
    <w:rsid w:val="00BD3DEF"/>
    <w:rsid w:val="00BD63B9"/>
    <w:rsid w:val="00BD6BA1"/>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AF1"/>
    <w:rsid w:val="00BE6F99"/>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83C"/>
    <w:rsid w:val="00C029E6"/>
    <w:rsid w:val="00C02A86"/>
    <w:rsid w:val="00C03637"/>
    <w:rsid w:val="00C03779"/>
    <w:rsid w:val="00C03AEB"/>
    <w:rsid w:val="00C04E71"/>
    <w:rsid w:val="00C05F16"/>
    <w:rsid w:val="00C060DF"/>
    <w:rsid w:val="00C06124"/>
    <w:rsid w:val="00C07227"/>
    <w:rsid w:val="00C077E3"/>
    <w:rsid w:val="00C10017"/>
    <w:rsid w:val="00C116D6"/>
    <w:rsid w:val="00C1184D"/>
    <w:rsid w:val="00C118F8"/>
    <w:rsid w:val="00C1190D"/>
    <w:rsid w:val="00C11AF6"/>
    <w:rsid w:val="00C127DA"/>
    <w:rsid w:val="00C14477"/>
    <w:rsid w:val="00C152A2"/>
    <w:rsid w:val="00C15ED5"/>
    <w:rsid w:val="00C15F3D"/>
    <w:rsid w:val="00C16A6D"/>
    <w:rsid w:val="00C16D38"/>
    <w:rsid w:val="00C17591"/>
    <w:rsid w:val="00C2013E"/>
    <w:rsid w:val="00C2077A"/>
    <w:rsid w:val="00C20BBC"/>
    <w:rsid w:val="00C21B7E"/>
    <w:rsid w:val="00C2211B"/>
    <w:rsid w:val="00C231C8"/>
    <w:rsid w:val="00C23298"/>
    <w:rsid w:val="00C239EF"/>
    <w:rsid w:val="00C2436A"/>
    <w:rsid w:val="00C259E7"/>
    <w:rsid w:val="00C26376"/>
    <w:rsid w:val="00C26621"/>
    <w:rsid w:val="00C269BA"/>
    <w:rsid w:val="00C271A1"/>
    <w:rsid w:val="00C27CCD"/>
    <w:rsid w:val="00C313BE"/>
    <w:rsid w:val="00C31CA4"/>
    <w:rsid w:val="00C338C0"/>
    <w:rsid w:val="00C34ADE"/>
    <w:rsid w:val="00C34E4B"/>
    <w:rsid w:val="00C352FE"/>
    <w:rsid w:val="00C35B38"/>
    <w:rsid w:val="00C360CF"/>
    <w:rsid w:val="00C3642F"/>
    <w:rsid w:val="00C36762"/>
    <w:rsid w:val="00C3686A"/>
    <w:rsid w:val="00C368DF"/>
    <w:rsid w:val="00C36AAE"/>
    <w:rsid w:val="00C36CE2"/>
    <w:rsid w:val="00C40253"/>
    <w:rsid w:val="00C4029E"/>
    <w:rsid w:val="00C40E82"/>
    <w:rsid w:val="00C41457"/>
    <w:rsid w:val="00C41AD2"/>
    <w:rsid w:val="00C41FEE"/>
    <w:rsid w:val="00C4239F"/>
    <w:rsid w:val="00C42AF5"/>
    <w:rsid w:val="00C42C63"/>
    <w:rsid w:val="00C431B7"/>
    <w:rsid w:val="00C43AB4"/>
    <w:rsid w:val="00C440F3"/>
    <w:rsid w:val="00C46CF7"/>
    <w:rsid w:val="00C504B3"/>
    <w:rsid w:val="00C516BA"/>
    <w:rsid w:val="00C5477E"/>
    <w:rsid w:val="00C547BF"/>
    <w:rsid w:val="00C54EB4"/>
    <w:rsid w:val="00C555C5"/>
    <w:rsid w:val="00C57085"/>
    <w:rsid w:val="00C57155"/>
    <w:rsid w:val="00C608E5"/>
    <w:rsid w:val="00C6103A"/>
    <w:rsid w:val="00C612DA"/>
    <w:rsid w:val="00C6327D"/>
    <w:rsid w:val="00C63FE2"/>
    <w:rsid w:val="00C64FFA"/>
    <w:rsid w:val="00C6517D"/>
    <w:rsid w:val="00C65B8E"/>
    <w:rsid w:val="00C66D18"/>
    <w:rsid w:val="00C678D6"/>
    <w:rsid w:val="00C70512"/>
    <w:rsid w:val="00C71F2D"/>
    <w:rsid w:val="00C72480"/>
    <w:rsid w:val="00C7280A"/>
    <w:rsid w:val="00C73562"/>
    <w:rsid w:val="00C739AC"/>
    <w:rsid w:val="00C73B1E"/>
    <w:rsid w:val="00C74ADC"/>
    <w:rsid w:val="00C74E8F"/>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9F7"/>
    <w:rsid w:val="00C84A7F"/>
    <w:rsid w:val="00C86D11"/>
    <w:rsid w:val="00C86D81"/>
    <w:rsid w:val="00C87ACD"/>
    <w:rsid w:val="00C90D2E"/>
    <w:rsid w:val="00C91359"/>
    <w:rsid w:val="00C918B7"/>
    <w:rsid w:val="00C91EC3"/>
    <w:rsid w:val="00C922AD"/>
    <w:rsid w:val="00C9285D"/>
    <w:rsid w:val="00C934B7"/>
    <w:rsid w:val="00C95EC4"/>
    <w:rsid w:val="00C95F06"/>
    <w:rsid w:val="00C9790F"/>
    <w:rsid w:val="00C97B93"/>
    <w:rsid w:val="00CA0585"/>
    <w:rsid w:val="00CA093D"/>
    <w:rsid w:val="00CA152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2A06"/>
    <w:rsid w:val="00CE30D1"/>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3E39"/>
    <w:rsid w:val="00CF50D2"/>
    <w:rsid w:val="00CF5F70"/>
    <w:rsid w:val="00CF79D4"/>
    <w:rsid w:val="00D0046D"/>
    <w:rsid w:val="00D00523"/>
    <w:rsid w:val="00D007FD"/>
    <w:rsid w:val="00D00DD5"/>
    <w:rsid w:val="00D01CD5"/>
    <w:rsid w:val="00D03012"/>
    <w:rsid w:val="00D0313B"/>
    <w:rsid w:val="00D0446A"/>
    <w:rsid w:val="00D04A58"/>
    <w:rsid w:val="00D06789"/>
    <w:rsid w:val="00D06857"/>
    <w:rsid w:val="00D100B4"/>
    <w:rsid w:val="00D116A3"/>
    <w:rsid w:val="00D126F4"/>
    <w:rsid w:val="00D127A5"/>
    <w:rsid w:val="00D12929"/>
    <w:rsid w:val="00D13358"/>
    <w:rsid w:val="00D135E2"/>
    <w:rsid w:val="00D14622"/>
    <w:rsid w:val="00D15CF8"/>
    <w:rsid w:val="00D15DF7"/>
    <w:rsid w:val="00D15E94"/>
    <w:rsid w:val="00D17AE4"/>
    <w:rsid w:val="00D205AF"/>
    <w:rsid w:val="00D20A7E"/>
    <w:rsid w:val="00D20B94"/>
    <w:rsid w:val="00D21375"/>
    <w:rsid w:val="00D213B6"/>
    <w:rsid w:val="00D21654"/>
    <w:rsid w:val="00D220E6"/>
    <w:rsid w:val="00D221BE"/>
    <w:rsid w:val="00D22EB8"/>
    <w:rsid w:val="00D230EC"/>
    <w:rsid w:val="00D23551"/>
    <w:rsid w:val="00D23852"/>
    <w:rsid w:val="00D240E9"/>
    <w:rsid w:val="00D25188"/>
    <w:rsid w:val="00D25E2B"/>
    <w:rsid w:val="00D26F70"/>
    <w:rsid w:val="00D27270"/>
    <w:rsid w:val="00D27F01"/>
    <w:rsid w:val="00D3042C"/>
    <w:rsid w:val="00D305F7"/>
    <w:rsid w:val="00D32A9C"/>
    <w:rsid w:val="00D3341D"/>
    <w:rsid w:val="00D33663"/>
    <w:rsid w:val="00D336A7"/>
    <w:rsid w:val="00D3396A"/>
    <w:rsid w:val="00D33F4F"/>
    <w:rsid w:val="00D352CA"/>
    <w:rsid w:val="00D357EC"/>
    <w:rsid w:val="00D36A38"/>
    <w:rsid w:val="00D36BDC"/>
    <w:rsid w:val="00D36C7D"/>
    <w:rsid w:val="00D37324"/>
    <w:rsid w:val="00D37431"/>
    <w:rsid w:val="00D37A3F"/>
    <w:rsid w:val="00D37A7D"/>
    <w:rsid w:val="00D40793"/>
    <w:rsid w:val="00D40C70"/>
    <w:rsid w:val="00D41D38"/>
    <w:rsid w:val="00D42F73"/>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574F3"/>
    <w:rsid w:val="00D60A92"/>
    <w:rsid w:val="00D60BAC"/>
    <w:rsid w:val="00D60C56"/>
    <w:rsid w:val="00D60DEE"/>
    <w:rsid w:val="00D615FF"/>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75C"/>
    <w:rsid w:val="00D92E82"/>
    <w:rsid w:val="00D932CA"/>
    <w:rsid w:val="00D94E99"/>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730"/>
    <w:rsid w:val="00DA4865"/>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35E2"/>
    <w:rsid w:val="00DD3A61"/>
    <w:rsid w:val="00DD3BA6"/>
    <w:rsid w:val="00DD4163"/>
    <w:rsid w:val="00DD4B1F"/>
    <w:rsid w:val="00DD4C69"/>
    <w:rsid w:val="00DD4D98"/>
    <w:rsid w:val="00DD6911"/>
    <w:rsid w:val="00DD6989"/>
    <w:rsid w:val="00DD6B3A"/>
    <w:rsid w:val="00DD6C83"/>
    <w:rsid w:val="00DD6EBD"/>
    <w:rsid w:val="00DD6F95"/>
    <w:rsid w:val="00DD789D"/>
    <w:rsid w:val="00DE004E"/>
    <w:rsid w:val="00DE0267"/>
    <w:rsid w:val="00DE0718"/>
    <w:rsid w:val="00DE1C68"/>
    <w:rsid w:val="00DE1FAF"/>
    <w:rsid w:val="00DE237E"/>
    <w:rsid w:val="00DE2F3B"/>
    <w:rsid w:val="00DE391C"/>
    <w:rsid w:val="00DE3D05"/>
    <w:rsid w:val="00DE427E"/>
    <w:rsid w:val="00DE4D3E"/>
    <w:rsid w:val="00DE5C00"/>
    <w:rsid w:val="00DE5E6B"/>
    <w:rsid w:val="00DE6017"/>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732"/>
    <w:rsid w:val="00E058BD"/>
    <w:rsid w:val="00E05CA7"/>
    <w:rsid w:val="00E06655"/>
    <w:rsid w:val="00E066BE"/>
    <w:rsid w:val="00E079AE"/>
    <w:rsid w:val="00E07DE8"/>
    <w:rsid w:val="00E07E5A"/>
    <w:rsid w:val="00E10A06"/>
    <w:rsid w:val="00E10B2B"/>
    <w:rsid w:val="00E10EEF"/>
    <w:rsid w:val="00E10F1B"/>
    <w:rsid w:val="00E114A5"/>
    <w:rsid w:val="00E12E8A"/>
    <w:rsid w:val="00E134F2"/>
    <w:rsid w:val="00E1503E"/>
    <w:rsid w:val="00E15156"/>
    <w:rsid w:val="00E15D2E"/>
    <w:rsid w:val="00E16333"/>
    <w:rsid w:val="00E16D54"/>
    <w:rsid w:val="00E1769D"/>
    <w:rsid w:val="00E17AA7"/>
    <w:rsid w:val="00E17DE7"/>
    <w:rsid w:val="00E20A48"/>
    <w:rsid w:val="00E20CF8"/>
    <w:rsid w:val="00E21CA3"/>
    <w:rsid w:val="00E2370F"/>
    <w:rsid w:val="00E23C0A"/>
    <w:rsid w:val="00E23D77"/>
    <w:rsid w:val="00E23F19"/>
    <w:rsid w:val="00E25BEB"/>
    <w:rsid w:val="00E270A2"/>
    <w:rsid w:val="00E27500"/>
    <w:rsid w:val="00E277F0"/>
    <w:rsid w:val="00E27E4D"/>
    <w:rsid w:val="00E30129"/>
    <w:rsid w:val="00E30547"/>
    <w:rsid w:val="00E309A2"/>
    <w:rsid w:val="00E30C36"/>
    <w:rsid w:val="00E31290"/>
    <w:rsid w:val="00E32B9D"/>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407E7"/>
    <w:rsid w:val="00E40B2C"/>
    <w:rsid w:val="00E40B4A"/>
    <w:rsid w:val="00E412CB"/>
    <w:rsid w:val="00E41D48"/>
    <w:rsid w:val="00E41FC4"/>
    <w:rsid w:val="00E4389F"/>
    <w:rsid w:val="00E43C47"/>
    <w:rsid w:val="00E44CB5"/>
    <w:rsid w:val="00E45AC6"/>
    <w:rsid w:val="00E46137"/>
    <w:rsid w:val="00E467E2"/>
    <w:rsid w:val="00E46E3D"/>
    <w:rsid w:val="00E46FAD"/>
    <w:rsid w:val="00E472A0"/>
    <w:rsid w:val="00E473FB"/>
    <w:rsid w:val="00E500D9"/>
    <w:rsid w:val="00E509E2"/>
    <w:rsid w:val="00E50E1F"/>
    <w:rsid w:val="00E513FB"/>
    <w:rsid w:val="00E53330"/>
    <w:rsid w:val="00E53E45"/>
    <w:rsid w:val="00E54303"/>
    <w:rsid w:val="00E555E5"/>
    <w:rsid w:val="00E565F4"/>
    <w:rsid w:val="00E602FD"/>
    <w:rsid w:val="00E61817"/>
    <w:rsid w:val="00E61C13"/>
    <w:rsid w:val="00E6215A"/>
    <w:rsid w:val="00E623F5"/>
    <w:rsid w:val="00E63236"/>
    <w:rsid w:val="00E635BE"/>
    <w:rsid w:val="00E638B1"/>
    <w:rsid w:val="00E655FE"/>
    <w:rsid w:val="00E65DB7"/>
    <w:rsid w:val="00E65E81"/>
    <w:rsid w:val="00E66589"/>
    <w:rsid w:val="00E6682B"/>
    <w:rsid w:val="00E6708F"/>
    <w:rsid w:val="00E6756D"/>
    <w:rsid w:val="00E7027A"/>
    <w:rsid w:val="00E70615"/>
    <w:rsid w:val="00E70689"/>
    <w:rsid w:val="00E7153D"/>
    <w:rsid w:val="00E72FD4"/>
    <w:rsid w:val="00E73067"/>
    <w:rsid w:val="00E73081"/>
    <w:rsid w:val="00E730D0"/>
    <w:rsid w:val="00E73A27"/>
    <w:rsid w:val="00E73F60"/>
    <w:rsid w:val="00E75AF4"/>
    <w:rsid w:val="00E75EF2"/>
    <w:rsid w:val="00E75F63"/>
    <w:rsid w:val="00E76544"/>
    <w:rsid w:val="00E765F6"/>
    <w:rsid w:val="00E80370"/>
    <w:rsid w:val="00E80FD3"/>
    <w:rsid w:val="00E81413"/>
    <w:rsid w:val="00E81ACC"/>
    <w:rsid w:val="00E823F8"/>
    <w:rsid w:val="00E828B1"/>
    <w:rsid w:val="00E82FF0"/>
    <w:rsid w:val="00E83FDF"/>
    <w:rsid w:val="00E84322"/>
    <w:rsid w:val="00E85057"/>
    <w:rsid w:val="00E850E2"/>
    <w:rsid w:val="00E855D0"/>
    <w:rsid w:val="00E85D61"/>
    <w:rsid w:val="00E86F04"/>
    <w:rsid w:val="00E900AF"/>
    <w:rsid w:val="00E90B7D"/>
    <w:rsid w:val="00E920CA"/>
    <w:rsid w:val="00E92705"/>
    <w:rsid w:val="00E9302C"/>
    <w:rsid w:val="00E932AB"/>
    <w:rsid w:val="00E9345A"/>
    <w:rsid w:val="00E9368B"/>
    <w:rsid w:val="00E93D56"/>
    <w:rsid w:val="00E93EE3"/>
    <w:rsid w:val="00E947E6"/>
    <w:rsid w:val="00E94840"/>
    <w:rsid w:val="00E95045"/>
    <w:rsid w:val="00E968C3"/>
    <w:rsid w:val="00E97076"/>
    <w:rsid w:val="00E97315"/>
    <w:rsid w:val="00E979C3"/>
    <w:rsid w:val="00EA0F49"/>
    <w:rsid w:val="00EA0F5F"/>
    <w:rsid w:val="00EA0FAA"/>
    <w:rsid w:val="00EA1204"/>
    <w:rsid w:val="00EA1943"/>
    <w:rsid w:val="00EA1FCE"/>
    <w:rsid w:val="00EA2877"/>
    <w:rsid w:val="00EA3733"/>
    <w:rsid w:val="00EA38FF"/>
    <w:rsid w:val="00EA49B0"/>
    <w:rsid w:val="00EA5269"/>
    <w:rsid w:val="00EA64D6"/>
    <w:rsid w:val="00EA6A07"/>
    <w:rsid w:val="00EA7E62"/>
    <w:rsid w:val="00EB1603"/>
    <w:rsid w:val="00EB16E6"/>
    <w:rsid w:val="00EB1B77"/>
    <w:rsid w:val="00EB214F"/>
    <w:rsid w:val="00EB2B4D"/>
    <w:rsid w:val="00EB3FFE"/>
    <w:rsid w:val="00EB4178"/>
    <w:rsid w:val="00EB41B2"/>
    <w:rsid w:val="00EB4381"/>
    <w:rsid w:val="00EB605E"/>
    <w:rsid w:val="00EB61BF"/>
    <w:rsid w:val="00EB74A5"/>
    <w:rsid w:val="00EB76CD"/>
    <w:rsid w:val="00EC0B1F"/>
    <w:rsid w:val="00EC1214"/>
    <w:rsid w:val="00EC12D5"/>
    <w:rsid w:val="00EC19C2"/>
    <w:rsid w:val="00EC3232"/>
    <w:rsid w:val="00EC3832"/>
    <w:rsid w:val="00EC4537"/>
    <w:rsid w:val="00EC4BCA"/>
    <w:rsid w:val="00EC5AE0"/>
    <w:rsid w:val="00EC60FC"/>
    <w:rsid w:val="00EC631B"/>
    <w:rsid w:val="00ED07CF"/>
    <w:rsid w:val="00ED0A7A"/>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F1057"/>
    <w:rsid w:val="00EF1879"/>
    <w:rsid w:val="00EF1FBC"/>
    <w:rsid w:val="00EF2FEE"/>
    <w:rsid w:val="00EF30DA"/>
    <w:rsid w:val="00EF35E9"/>
    <w:rsid w:val="00EF5F2B"/>
    <w:rsid w:val="00EF60A5"/>
    <w:rsid w:val="00EF60C2"/>
    <w:rsid w:val="00EF6571"/>
    <w:rsid w:val="00EF7117"/>
    <w:rsid w:val="00F00AA0"/>
    <w:rsid w:val="00F00AEB"/>
    <w:rsid w:val="00F00C63"/>
    <w:rsid w:val="00F017DA"/>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2C56"/>
    <w:rsid w:val="00F13025"/>
    <w:rsid w:val="00F13741"/>
    <w:rsid w:val="00F14210"/>
    <w:rsid w:val="00F15504"/>
    <w:rsid w:val="00F166B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148C"/>
    <w:rsid w:val="00F41C9E"/>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E4A"/>
    <w:rsid w:val="00F5603F"/>
    <w:rsid w:val="00F5612A"/>
    <w:rsid w:val="00F5613B"/>
    <w:rsid w:val="00F56DC4"/>
    <w:rsid w:val="00F575EC"/>
    <w:rsid w:val="00F57BEC"/>
    <w:rsid w:val="00F60BAE"/>
    <w:rsid w:val="00F61CBC"/>
    <w:rsid w:val="00F61E35"/>
    <w:rsid w:val="00F62569"/>
    <w:rsid w:val="00F62E1C"/>
    <w:rsid w:val="00F62F8E"/>
    <w:rsid w:val="00F6357B"/>
    <w:rsid w:val="00F63A74"/>
    <w:rsid w:val="00F63EA5"/>
    <w:rsid w:val="00F64423"/>
    <w:rsid w:val="00F644EE"/>
    <w:rsid w:val="00F645E7"/>
    <w:rsid w:val="00F651C7"/>
    <w:rsid w:val="00F65DFB"/>
    <w:rsid w:val="00F65E02"/>
    <w:rsid w:val="00F65EF2"/>
    <w:rsid w:val="00F673FC"/>
    <w:rsid w:val="00F70037"/>
    <w:rsid w:val="00F71324"/>
    <w:rsid w:val="00F7160E"/>
    <w:rsid w:val="00F7166C"/>
    <w:rsid w:val="00F72564"/>
    <w:rsid w:val="00F74F05"/>
    <w:rsid w:val="00F76343"/>
    <w:rsid w:val="00F76371"/>
    <w:rsid w:val="00F76C9C"/>
    <w:rsid w:val="00F7734D"/>
    <w:rsid w:val="00F776AE"/>
    <w:rsid w:val="00F807A0"/>
    <w:rsid w:val="00F81481"/>
    <w:rsid w:val="00F819A5"/>
    <w:rsid w:val="00F81F2A"/>
    <w:rsid w:val="00F82859"/>
    <w:rsid w:val="00F833F5"/>
    <w:rsid w:val="00F8375B"/>
    <w:rsid w:val="00F83A0C"/>
    <w:rsid w:val="00F83DA5"/>
    <w:rsid w:val="00F83EF7"/>
    <w:rsid w:val="00F8497D"/>
    <w:rsid w:val="00F84D20"/>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2838"/>
    <w:rsid w:val="00FA29FD"/>
    <w:rsid w:val="00FA3CB6"/>
    <w:rsid w:val="00FA65B4"/>
    <w:rsid w:val="00FA6B38"/>
    <w:rsid w:val="00FA7631"/>
    <w:rsid w:val="00FB174D"/>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A72"/>
    <w:rsid w:val="00FC4D30"/>
    <w:rsid w:val="00FC5CB9"/>
    <w:rsid w:val="00FC5EB8"/>
    <w:rsid w:val="00FC629B"/>
    <w:rsid w:val="00FC62F0"/>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4853AB"/>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nhideWhenUsed="0"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2"/>
    <w:basedOn w:val="1"/>
    <w:next w:val="1"/>
    <w:link w:val="74"/>
    <w:qFormat/>
    <w:uiPriority w:val="99"/>
    <w:pPr>
      <w:keepNext/>
      <w:keepLines/>
      <w:spacing w:before="260" w:after="260" w:line="416" w:lineRule="auto"/>
      <w:outlineLvl w:val="1"/>
    </w:pPr>
    <w:rPr>
      <w:rFonts w:ascii="等线 Light" w:hAnsi="等线 Light" w:eastAsia="等线 Light" w:cs="等线 Light"/>
      <w:b/>
      <w:bCs/>
      <w:sz w:val="32"/>
      <w:szCs w:val="32"/>
    </w:rPr>
  </w:style>
  <w:style w:type="character" w:default="1" w:styleId="15">
    <w:name w:val="Default Paragraph Font"/>
    <w:semiHidden/>
    <w:uiPriority w:val="99"/>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3">
    <w:name w:val="toa heading"/>
    <w:basedOn w:val="1"/>
    <w:next w:val="1"/>
    <w:semiHidden/>
    <w:uiPriority w:val="99"/>
    <w:pPr>
      <w:spacing w:before="120"/>
    </w:pPr>
    <w:rPr>
      <w:rFonts w:ascii="Arial" w:hAnsi="Arial" w:eastAsia="仿宋_GB2312" w:cs="Arial"/>
      <w:sz w:val="24"/>
      <w:szCs w:val="24"/>
    </w:rPr>
  </w:style>
  <w:style w:type="paragraph" w:styleId="4">
    <w:name w:val="Body Text"/>
    <w:basedOn w:val="1"/>
    <w:link w:val="68"/>
    <w:uiPriority w:val="99"/>
    <w:pPr>
      <w:spacing w:line="100" w:lineRule="atLeast"/>
      <w:jc w:val="center"/>
    </w:pPr>
    <w:rPr>
      <w:rFonts w:eastAsia="华文中宋"/>
      <w:sz w:val="24"/>
      <w:szCs w:val="24"/>
    </w:rPr>
  </w:style>
  <w:style w:type="paragraph" w:styleId="5">
    <w:name w:val="Body Text Indent"/>
    <w:basedOn w:val="1"/>
    <w:link w:val="65"/>
    <w:uiPriority w:val="99"/>
    <w:pPr>
      <w:ind w:firstLine="640" w:firstLineChars="200"/>
    </w:pPr>
    <w:rPr>
      <w:rFonts w:eastAsia="仿宋_GB2312"/>
      <w:color w:val="000000"/>
      <w:sz w:val="32"/>
      <w:szCs w:val="32"/>
      <w:lang w:val="zh-CN"/>
    </w:rPr>
  </w:style>
  <w:style w:type="paragraph" w:styleId="6">
    <w:name w:val="Plain Text"/>
    <w:basedOn w:val="1"/>
    <w:link w:val="63"/>
    <w:uiPriority w:val="99"/>
    <w:rPr>
      <w:rFonts w:ascii="宋体" w:hAnsi="Courier New" w:eastAsia="宋体" w:cs="宋体"/>
    </w:rPr>
  </w:style>
  <w:style w:type="paragraph" w:styleId="7">
    <w:name w:val="Date"/>
    <w:basedOn w:val="1"/>
    <w:next w:val="1"/>
    <w:link w:val="56"/>
    <w:uiPriority w:val="99"/>
    <w:pPr>
      <w:ind w:left="100" w:leftChars="2500"/>
    </w:pPr>
    <w:rPr>
      <w:rFonts w:ascii="仿宋_GB2312" w:eastAsia="仿宋_GB2312" w:cs="仿宋_GB2312"/>
      <w:sz w:val="32"/>
      <w:szCs w:val="32"/>
    </w:rPr>
  </w:style>
  <w:style w:type="paragraph" w:styleId="8">
    <w:name w:val="Balloon Text"/>
    <w:basedOn w:val="1"/>
    <w:link w:val="49"/>
    <w:semiHidden/>
    <w:uiPriority w:val="99"/>
    <w:rPr>
      <w:sz w:val="18"/>
      <w:szCs w:val="18"/>
    </w:rPr>
  </w:style>
  <w:style w:type="paragraph" w:styleId="9">
    <w:name w:val="footer"/>
    <w:basedOn w:val="1"/>
    <w:link w:val="46"/>
    <w:uiPriority w:val="99"/>
    <w:pPr>
      <w:tabs>
        <w:tab w:val="center" w:pos="4153"/>
        <w:tab w:val="right" w:pos="8306"/>
      </w:tabs>
      <w:snapToGrid w:val="0"/>
      <w:jc w:val="left"/>
    </w:pPr>
    <w:rPr>
      <w:sz w:val="18"/>
      <w:szCs w:val="18"/>
    </w:rPr>
  </w:style>
  <w:style w:type="paragraph" w:styleId="10">
    <w:name w:val="header"/>
    <w:basedOn w:val="1"/>
    <w:link w:val="44"/>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uiPriority w:val="99"/>
    <w:pPr>
      <w:ind w:left="200" w:hanging="200" w:hangingChars="200"/>
    </w:pPr>
  </w:style>
  <w:style w:type="paragraph" w:styleId="12">
    <w:name w:val="Body Text 2"/>
    <w:basedOn w:val="1"/>
    <w:link w:val="43"/>
    <w:uiPriority w:val="99"/>
    <w:pPr>
      <w:spacing w:after="120" w:line="480" w:lineRule="auto"/>
    </w:pPr>
  </w:style>
  <w:style w:type="paragraph" w:styleId="13">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55"/>
    <w:qFormat/>
    <w:uiPriority w:val="99"/>
    <w:pPr>
      <w:spacing w:before="240" w:after="60"/>
      <w:jc w:val="center"/>
      <w:outlineLvl w:val="0"/>
    </w:pPr>
    <w:rPr>
      <w:rFonts w:ascii="Cambria" w:hAnsi="Cambria" w:eastAsia="宋体" w:cs="Cambria"/>
      <w:b/>
      <w:bCs/>
      <w:kern w:val="0"/>
      <w:sz w:val="32"/>
      <w:szCs w:val="32"/>
    </w:rPr>
  </w:style>
  <w:style w:type="character" w:styleId="16">
    <w:name w:val="Strong"/>
    <w:basedOn w:val="15"/>
    <w:qFormat/>
    <w:uiPriority w:val="99"/>
    <w:rPr>
      <w:rFonts w:eastAsia="仿宋_GB2312"/>
      <w:sz w:val="32"/>
      <w:szCs w:val="32"/>
    </w:rPr>
  </w:style>
  <w:style w:type="character" w:styleId="17">
    <w:name w:val="page number"/>
    <w:basedOn w:val="15"/>
    <w:uiPriority w:val="99"/>
  </w:style>
  <w:style w:type="character" w:styleId="18">
    <w:name w:val="Hyperlink"/>
    <w:basedOn w:val="15"/>
    <w:uiPriority w:val="99"/>
    <w:rPr>
      <w:color w:val="0000FF"/>
      <w:u w:val="single"/>
    </w:rPr>
  </w:style>
  <w:style w:type="table" w:styleId="20">
    <w:name w:val="Table Grid"/>
    <w:basedOn w:val="19"/>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Heading 2 Char"/>
    <w:basedOn w:val="15"/>
    <w:link w:val="2"/>
    <w:semiHidden/>
    <w:qFormat/>
    <w:locked/>
    <w:uiPriority w:val="99"/>
    <w:rPr>
      <w:rFonts w:ascii="Cambria" w:hAnsi="Cambria" w:eastAsia="宋体" w:cs="Cambria"/>
      <w:b/>
      <w:bCs/>
      <w:sz w:val="32"/>
      <w:szCs w:val="32"/>
    </w:rPr>
  </w:style>
  <w:style w:type="character" w:customStyle="1" w:styleId="22">
    <w:name w:val="Char Char"/>
    <w:qFormat/>
    <w:uiPriority w:val="99"/>
    <w:rPr>
      <w:rFonts w:ascii="宋体" w:hAnsi="Courier New" w:eastAsia="宋体" w:cs="宋体"/>
      <w:kern w:val="2"/>
      <w:sz w:val="21"/>
      <w:szCs w:val="21"/>
      <w:lang w:val="en-US" w:eastAsia="zh-CN"/>
    </w:rPr>
  </w:style>
  <w:style w:type="character" w:customStyle="1" w:styleId="23">
    <w:name w:val="样式2 Char"/>
    <w:link w:val="24"/>
    <w:locked/>
    <w:uiPriority w:val="99"/>
    <w:rPr>
      <w:rFonts w:ascii="楷体_GB2312" w:hAnsi="Courier New" w:eastAsia="楷体_GB2312" w:cs="楷体_GB2312"/>
      <w:kern w:val="2"/>
      <w:sz w:val="32"/>
      <w:szCs w:val="32"/>
      <w:lang w:val="en-US" w:eastAsia="zh-CN"/>
    </w:rPr>
  </w:style>
  <w:style w:type="paragraph" w:customStyle="1" w:styleId="24">
    <w:name w:val="样式2"/>
    <w:basedOn w:val="6"/>
    <w:link w:val="23"/>
    <w:uiPriority w:val="99"/>
    <w:pPr>
      <w:adjustRightInd w:val="0"/>
      <w:snapToGrid w:val="0"/>
      <w:spacing w:line="610" w:lineRule="exact"/>
      <w:ind w:firstLine="640" w:firstLineChars="200"/>
    </w:pPr>
    <w:rPr>
      <w:rFonts w:ascii="楷体_GB2312" w:eastAsia="楷体_GB2312" w:cs="楷体_GB2312"/>
      <w:sz w:val="32"/>
      <w:szCs w:val="32"/>
    </w:rPr>
  </w:style>
  <w:style w:type="character" w:customStyle="1" w:styleId="25">
    <w:name w:val="Body Text Char1"/>
    <w:locked/>
    <w:uiPriority w:val="99"/>
    <w:rPr>
      <w:rFonts w:eastAsia="华文中宋"/>
      <w:kern w:val="2"/>
      <w:sz w:val="24"/>
      <w:szCs w:val="24"/>
      <w:lang w:val="en-US" w:eastAsia="zh-CN"/>
    </w:rPr>
  </w:style>
  <w:style w:type="character" w:customStyle="1" w:styleId="26">
    <w:name w:val="Char Char2"/>
    <w:uiPriority w:val="99"/>
    <w:rPr>
      <w:rFonts w:ascii="黑体" w:eastAsia="黑体" w:cs="黑体"/>
      <w:sz w:val="24"/>
      <w:szCs w:val="24"/>
      <w:lang w:val="en-US" w:eastAsia="zh-CN"/>
    </w:rPr>
  </w:style>
  <w:style w:type="character" w:customStyle="1" w:styleId="27">
    <w:name w:val="apple-converted-space"/>
    <w:basedOn w:val="15"/>
    <w:qFormat/>
    <w:uiPriority w:val="99"/>
  </w:style>
  <w:style w:type="character" w:customStyle="1" w:styleId="28">
    <w:name w:val="样式1 Char Char"/>
    <w:link w:val="29"/>
    <w:qFormat/>
    <w:locked/>
    <w:uiPriority w:val="99"/>
    <w:rPr>
      <w:rFonts w:ascii="黑体" w:hAnsi="Courier New" w:eastAsia="黑体" w:cs="黑体"/>
      <w:kern w:val="2"/>
      <w:sz w:val="32"/>
      <w:szCs w:val="32"/>
      <w:lang w:val="en-US" w:eastAsia="zh-CN"/>
    </w:rPr>
  </w:style>
  <w:style w:type="paragraph" w:customStyle="1" w:styleId="29">
    <w:name w:val="样式1"/>
    <w:basedOn w:val="6"/>
    <w:link w:val="28"/>
    <w:uiPriority w:val="99"/>
    <w:pPr>
      <w:adjustRightInd w:val="0"/>
      <w:snapToGrid w:val="0"/>
      <w:spacing w:line="610" w:lineRule="exact"/>
      <w:ind w:firstLine="640" w:firstLineChars="200"/>
    </w:pPr>
    <w:rPr>
      <w:rFonts w:ascii="黑体" w:eastAsia="黑体" w:cs="黑体"/>
      <w:sz w:val="32"/>
      <w:szCs w:val="32"/>
    </w:rPr>
  </w:style>
  <w:style w:type="character" w:customStyle="1" w:styleId="30">
    <w:name w:val="ca-11"/>
    <w:uiPriority w:val="99"/>
    <w:rPr>
      <w:rFonts w:ascii="??" w:eastAsia="Times New Roman" w:cs="??"/>
      <w:b/>
      <w:bCs/>
      <w:color w:val="000000"/>
      <w:spacing w:val="-20"/>
      <w:sz w:val="44"/>
      <w:szCs w:val="44"/>
    </w:rPr>
  </w:style>
  <w:style w:type="character" w:customStyle="1" w:styleId="31">
    <w:name w:val="Title Char1"/>
    <w:locked/>
    <w:uiPriority w:val="99"/>
    <w:rPr>
      <w:rFonts w:ascii="Cambria" w:hAnsi="Cambria" w:eastAsia="宋体" w:cs="Cambria"/>
      <w:b/>
      <w:bCs/>
      <w:sz w:val="32"/>
      <w:szCs w:val="32"/>
    </w:rPr>
  </w:style>
  <w:style w:type="character" w:customStyle="1" w:styleId="32">
    <w:name w:val="样式1 Char"/>
    <w:uiPriority w:val="99"/>
    <w:rPr>
      <w:rFonts w:ascii="黑体" w:hAnsi="Courier New" w:eastAsia="黑体" w:cs="黑体"/>
      <w:kern w:val="2"/>
      <w:sz w:val="32"/>
      <w:szCs w:val="32"/>
      <w:lang w:val="en-US" w:eastAsia="zh-CN"/>
    </w:rPr>
  </w:style>
  <w:style w:type="character" w:customStyle="1" w:styleId="33">
    <w:name w:val="纯文本 Char"/>
    <w:uiPriority w:val="99"/>
    <w:rPr>
      <w:rFonts w:ascii="宋体" w:hAnsi="Courier New" w:eastAsia="宋体" w:cs="宋体"/>
      <w:kern w:val="2"/>
      <w:sz w:val="21"/>
      <w:szCs w:val="21"/>
      <w:lang w:val="en-US" w:eastAsia="zh-CN"/>
    </w:rPr>
  </w:style>
  <w:style w:type="character" w:customStyle="1" w:styleId="34">
    <w:name w:val="ca-41"/>
    <w:uiPriority w:val="99"/>
    <w:rPr>
      <w:rFonts w:ascii="??_GB2312" w:eastAsia="Times New Roman" w:cs="??_GB2312"/>
      <w:color w:val="000000"/>
      <w:sz w:val="32"/>
      <w:szCs w:val="32"/>
    </w:rPr>
  </w:style>
  <w:style w:type="character" w:customStyle="1" w:styleId="35">
    <w:name w:val="纯文本 字符"/>
    <w:uiPriority w:val="99"/>
    <w:rPr>
      <w:rFonts w:ascii="宋体" w:hAnsi="Courier New" w:eastAsia="宋体" w:cs="宋体"/>
      <w:kern w:val="2"/>
      <w:sz w:val="21"/>
      <w:szCs w:val="21"/>
      <w:lang w:val="en-US" w:eastAsia="zh-CN"/>
    </w:rPr>
  </w:style>
  <w:style w:type="character" w:customStyle="1" w:styleId="36">
    <w:name w:val="Balloon Text Char1"/>
    <w:qFormat/>
    <w:locked/>
    <w:uiPriority w:val="99"/>
    <w:rPr>
      <w:kern w:val="2"/>
      <w:sz w:val="18"/>
      <w:szCs w:val="18"/>
    </w:rPr>
  </w:style>
  <w:style w:type="character" w:customStyle="1" w:styleId="37">
    <w:name w:val="Plain Text Char1"/>
    <w:locked/>
    <w:uiPriority w:val="99"/>
    <w:rPr>
      <w:rFonts w:ascii="宋体" w:hAnsi="Courier New" w:eastAsia="宋体" w:cs="宋体"/>
      <w:kern w:val="2"/>
      <w:sz w:val="21"/>
      <w:szCs w:val="21"/>
      <w:lang w:val="en-US" w:eastAsia="zh-CN"/>
    </w:rPr>
  </w:style>
  <w:style w:type="character" w:customStyle="1" w:styleId="38">
    <w:name w:val="ca-01"/>
    <w:uiPriority w:val="99"/>
    <w:rPr>
      <w:rFonts w:ascii="Times New Roman" w:cs="Times New Roman"/>
      <w:b/>
      <w:bCs/>
      <w:color w:val="000000"/>
      <w:spacing w:val="-20"/>
      <w:sz w:val="44"/>
      <w:szCs w:val="44"/>
    </w:rPr>
  </w:style>
  <w:style w:type="paragraph" w:customStyle="1" w:styleId="39">
    <w:name w:val="content-parag"/>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0">
    <w:name w:val="样式5"/>
    <w:basedOn w:val="29"/>
    <w:uiPriority w:val="99"/>
    <w:pPr>
      <w:ind w:firstLine="0" w:firstLineChars="0"/>
      <w:jc w:val="center"/>
    </w:pPr>
  </w:style>
  <w:style w:type="paragraph" w:customStyle="1" w:styleId="41">
    <w:name w:val="列出段落"/>
    <w:basedOn w:val="1"/>
    <w:uiPriority w:val="99"/>
    <w:pPr>
      <w:ind w:firstLine="420" w:firstLineChars="200"/>
    </w:pPr>
  </w:style>
  <w:style w:type="paragraph" w:customStyle="1" w:styleId="42">
    <w:name w:val="reader-word-layer reader-word-s1-2"/>
    <w:basedOn w:val="1"/>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43">
    <w:name w:val="Body Text 2 Char"/>
    <w:basedOn w:val="15"/>
    <w:link w:val="12"/>
    <w:semiHidden/>
    <w:locked/>
    <w:uiPriority w:val="99"/>
    <w:rPr>
      <w:sz w:val="21"/>
      <w:szCs w:val="21"/>
    </w:rPr>
  </w:style>
  <w:style w:type="character" w:customStyle="1" w:styleId="44">
    <w:name w:val="Header Char"/>
    <w:basedOn w:val="15"/>
    <w:link w:val="10"/>
    <w:semiHidden/>
    <w:qFormat/>
    <w:locked/>
    <w:uiPriority w:val="99"/>
    <w:rPr>
      <w:sz w:val="18"/>
      <w:szCs w:val="18"/>
    </w:rPr>
  </w:style>
  <w:style w:type="paragraph" w:customStyle="1" w:styleId="45">
    <w:name w:val="正文 New New"/>
    <w:uiPriority w:val="99"/>
    <w:pPr>
      <w:widowControl w:val="0"/>
      <w:jc w:val="both"/>
    </w:pPr>
    <w:rPr>
      <w:rFonts w:ascii="Calibri" w:hAnsi="Calibri" w:eastAsia="等线" w:cs="Calibri"/>
      <w:kern w:val="2"/>
      <w:sz w:val="21"/>
      <w:szCs w:val="21"/>
      <w:lang w:val="en-US" w:eastAsia="zh-CN" w:bidi="ar-SA"/>
    </w:rPr>
  </w:style>
  <w:style w:type="character" w:customStyle="1" w:styleId="46">
    <w:name w:val="Footer Char"/>
    <w:basedOn w:val="15"/>
    <w:link w:val="9"/>
    <w:semiHidden/>
    <w:locked/>
    <w:uiPriority w:val="99"/>
    <w:rPr>
      <w:sz w:val="18"/>
      <w:szCs w:val="18"/>
    </w:rPr>
  </w:style>
  <w:style w:type="paragraph" w:customStyle="1" w:styleId="47">
    <w:name w:val="正文 New New New New New New New New New"/>
    <w:uiPriority w:val="99"/>
    <w:pPr>
      <w:widowControl w:val="0"/>
      <w:jc w:val="both"/>
    </w:pPr>
    <w:rPr>
      <w:rFonts w:ascii="等线" w:hAnsi="等线" w:eastAsia="等线" w:cs="等线"/>
      <w:kern w:val="2"/>
      <w:sz w:val="21"/>
      <w:szCs w:val="21"/>
      <w:lang w:val="en-US" w:eastAsia="zh-CN" w:bidi="ar-SA"/>
    </w:rPr>
  </w:style>
  <w:style w:type="paragraph" w:customStyle="1" w:styleId="48">
    <w:name w:val="正文 New New New New New New New New New New New New New New New New New New New New New New New New New New New New New New New New New New New"/>
    <w:uiPriority w:val="99"/>
    <w:pPr>
      <w:widowControl w:val="0"/>
      <w:jc w:val="both"/>
    </w:pPr>
    <w:rPr>
      <w:rFonts w:ascii="Calibri" w:hAnsi="Calibri" w:eastAsia="方正仿宋_GBK" w:cs="Calibri"/>
      <w:kern w:val="2"/>
      <w:sz w:val="32"/>
      <w:szCs w:val="32"/>
      <w:lang w:val="en-US" w:eastAsia="zh-CN" w:bidi="ar-SA"/>
    </w:rPr>
  </w:style>
  <w:style w:type="character" w:customStyle="1" w:styleId="49">
    <w:name w:val="Balloon Text Char"/>
    <w:basedOn w:val="15"/>
    <w:link w:val="8"/>
    <w:semiHidden/>
    <w:locked/>
    <w:uiPriority w:val="99"/>
    <w:rPr>
      <w:sz w:val="2"/>
      <w:szCs w:val="2"/>
    </w:rPr>
  </w:style>
  <w:style w:type="paragraph" w:customStyle="1" w:styleId="50">
    <w:name w:val="p0"/>
    <w:basedOn w:val="1"/>
    <w:uiPriority w:val="99"/>
    <w:pPr>
      <w:widowControl/>
      <w:spacing w:line="365" w:lineRule="atLeast"/>
      <w:ind w:left="1"/>
      <w:textAlignment w:val="bottom"/>
    </w:pPr>
    <w:rPr>
      <w:kern w:val="0"/>
      <w:sz w:val="20"/>
      <w:szCs w:val="20"/>
    </w:rPr>
  </w:style>
  <w:style w:type="paragraph" w:customStyle="1" w:styleId="51">
    <w:name w:val="Char Char Char Char Char Char Char"/>
    <w:basedOn w:val="1"/>
    <w:semiHidden/>
    <w:uiPriority w:val="99"/>
  </w:style>
  <w:style w:type="paragraph" w:customStyle="1" w:styleId="52">
    <w:name w:val="Char"/>
    <w:basedOn w:val="1"/>
    <w:semiHidden/>
    <w:uiPriority w:val="99"/>
  </w:style>
  <w:style w:type="paragraph" w:customStyle="1" w:styleId="53">
    <w:name w:val="Char1"/>
    <w:basedOn w:val="1"/>
    <w:semiHidden/>
    <w:uiPriority w:val="99"/>
  </w:style>
  <w:style w:type="paragraph" w:customStyle="1" w:styleId="54">
    <w:name w:val="样式4"/>
    <w:basedOn w:val="6"/>
    <w:uiPriority w:val="99"/>
    <w:pPr>
      <w:adjustRightInd w:val="0"/>
      <w:snapToGrid w:val="0"/>
      <w:spacing w:line="610" w:lineRule="exact"/>
      <w:jc w:val="center"/>
    </w:pPr>
    <w:rPr>
      <w:rFonts w:ascii="方正小标宋简体" w:hAnsi="Times New Roman" w:eastAsia="方正小标宋简体" w:cs="方正小标宋简体"/>
      <w:kern w:val="0"/>
      <w:sz w:val="44"/>
      <w:szCs w:val="44"/>
    </w:rPr>
  </w:style>
  <w:style w:type="character" w:customStyle="1" w:styleId="55">
    <w:name w:val="Title Char"/>
    <w:basedOn w:val="15"/>
    <w:link w:val="14"/>
    <w:locked/>
    <w:uiPriority w:val="99"/>
    <w:rPr>
      <w:rFonts w:ascii="Cambria" w:hAnsi="Cambria" w:eastAsia="宋体" w:cs="Cambria"/>
      <w:b/>
      <w:bCs/>
      <w:sz w:val="32"/>
      <w:szCs w:val="32"/>
    </w:rPr>
  </w:style>
  <w:style w:type="character" w:customStyle="1" w:styleId="56">
    <w:name w:val="Date Char"/>
    <w:basedOn w:val="15"/>
    <w:link w:val="7"/>
    <w:semiHidden/>
    <w:locked/>
    <w:uiPriority w:val="99"/>
    <w:rPr>
      <w:sz w:val="21"/>
      <w:szCs w:val="21"/>
    </w:rPr>
  </w:style>
  <w:style w:type="paragraph" w:customStyle="1" w:styleId="57">
    <w:name w:val="p16"/>
    <w:basedOn w:val="1"/>
    <w:uiPriority w:val="99"/>
    <w:pPr>
      <w:widowControl/>
    </w:pPr>
    <w:rPr>
      <w:kern w:val="0"/>
    </w:rPr>
  </w:style>
  <w:style w:type="paragraph" w:customStyle="1" w:styleId="58">
    <w:name w:val="Char Char Char"/>
    <w:basedOn w:val="1"/>
    <w:uiPriority w:val="99"/>
    <w:rPr>
      <w:rFonts w:eastAsia="仿宋_GB2312"/>
      <w:sz w:val="32"/>
      <w:szCs w:val="32"/>
    </w:rPr>
  </w:style>
  <w:style w:type="paragraph" w:customStyle="1" w:styleId="59">
    <w:name w:val="样式7"/>
    <w:basedOn w:val="1"/>
    <w:uiPriority w:val="99"/>
    <w:pPr>
      <w:topLinePunct/>
      <w:adjustRightInd w:val="0"/>
      <w:snapToGrid w:val="0"/>
      <w:spacing w:line="592" w:lineRule="exact"/>
      <w:ind w:left="420" w:leftChars="200" w:right="420" w:rightChars="200"/>
    </w:pPr>
    <w:rPr>
      <w:rFonts w:eastAsia="楷体_GB2312"/>
      <w:color w:val="222222"/>
      <w:kern w:val="0"/>
      <w:sz w:val="32"/>
      <w:szCs w:val="32"/>
    </w:rPr>
  </w:style>
  <w:style w:type="paragraph" w:customStyle="1" w:styleId="60">
    <w:name w:val="纯文本 New"/>
    <w:basedOn w:val="1"/>
    <w:uiPriority w:val="99"/>
    <w:rPr>
      <w:rFonts w:ascii="宋体" w:hAnsi="Courier New" w:cs="宋体"/>
    </w:rPr>
  </w:style>
  <w:style w:type="paragraph" w:customStyle="1" w:styleId="61">
    <w:name w:val="正文 New"/>
    <w:uiPriority w:val="99"/>
    <w:pPr>
      <w:widowControl w:val="0"/>
      <w:jc w:val="both"/>
    </w:pPr>
    <w:rPr>
      <w:rFonts w:ascii="等线" w:hAnsi="等线" w:eastAsia="等线" w:cs="等线"/>
      <w:kern w:val="2"/>
      <w:sz w:val="21"/>
      <w:szCs w:val="21"/>
      <w:lang w:val="en-US" w:eastAsia="zh-CN" w:bidi="ar-SA"/>
    </w:rPr>
  </w:style>
  <w:style w:type="paragraph" w:customStyle="1" w:styleId="62">
    <w:name w:val="No Spacing1"/>
    <w:uiPriority w:val="99"/>
    <w:pPr>
      <w:widowControl w:val="0"/>
      <w:jc w:val="both"/>
    </w:pPr>
    <w:rPr>
      <w:rFonts w:ascii="等线" w:hAnsi="等线" w:eastAsia="等线" w:cs="等线"/>
      <w:kern w:val="2"/>
      <w:sz w:val="30"/>
      <w:szCs w:val="30"/>
      <w:lang w:val="en-US" w:eastAsia="zh-CN" w:bidi="ar-SA"/>
    </w:rPr>
  </w:style>
  <w:style w:type="character" w:customStyle="1" w:styleId="63">
    <w:name w:val="Plain Text Char"/>
    <w:basedOn w:val="15"/>
    <w:link w:val="6"/>
    <w:semiHidden/>
    <w:locked/>
    <w:uiPriority w:val="99"/>
    <w:rPr>
      <w:rFonts w:ascii="宋体" w:hAnsi="Courier New" w:eastAsia="宋体" w:cs="宋体"/>
      <w:sz w:val="21"/>
      <w:szCs w:val="21"/>
    </w:rPr>
  </w:style>
  <w:style w:type="paragraph" w:customStyle="1" w:styleId="64">
    <w:name w:val="Char Char Char Char Char Char Char Char Char Char"/>
    <w:basedOn w:val="1"/>
    <w:semiHidden/>
    <w:uiPriority w:val="99"/>
  </w:style>
  <w:style w:type="character" w:customStyle="1" w:styleId="65">
    <w:name w:val="Body Text Indent Char"/>
    <w:basedOn w:val="15"/>
    <w:link w:val="5"/>
    <w:semiHidden/>
    <w:qFormat/>
    <w:locked/>
    <w:uiPriority w:val="99"/>
    <w:rPr>
      <w:sz w:val="21"/>
      <w:szCs w:val="21"/>
    </w:rPr>
  </w:style>
  <w:style w:type="paragraph" w:customStyle="1" w:styleId="66">
    <w:name w:val="正文 New New New New New New New"/>
    <w:uiPriority w:val="99"/>
    <w:pPr>
      <w:widowControl w:val="0"/>
      <w:jc w:val="both"/>
    </w:pPr>
    <w:rPr>
      <w:rFonts w:ascii="等线" w:hAnsi="等线" w:eastAsia="等线" w:cs="等线"/>
      <w:kern w:val="2"/>
      <w:sz w:val="21"/>
      <w:szCs w:val="21"/>
      <w:lang w:val="en-US" w:eastAsia="zh-CN" w:bidi="ar-SA"/>
    </w:rPr>
  </w:style>
  <w:style w:type="paragraph" w:customStyle="1" w:styleId="67">
    <w:name w:val="样式3"/>
    <w:basedOn w:val="1"/>
    <w:qFormat/>
    <w:uiPriority w:val="99"/>
    <w:pPr>
      <w:topLinePunct/>
      <w:adjustRightInd w:val="0"/>
      <w:snapToGrid w:val="0"/>
      <w:spacing w:line="592" w:lineRule="exact"/>
      <w:jc w:val="center"/>
    </w:pPr>
    <w:rPr>
      <w:rFonts w:ascii="宋体" w:hAnsi="宋体" w:cs="宋体"/>
      <w:sz w:val="44"/>
      <w:szCs w:val="44"/>
    </w:rPr>
  </w:style>
  <w:style w:type="character" w:customStyle="1" w:styleId="68">
    <w:name w:val="Body Text Char"/>
    <w:basedOn w:val="15"/>
    <w:link w:val="4"/>
    <w:semiHidden/>
    <w:locked/>
    <w:uiPriority w:val="99"/>
    <w:rPr>
      <w:sz w:val="21"/>
      <w:szCs w:val="21"/>
    </w:r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rFonts w:ascii="等线" w:hAnsi="等线" w:eastAsia="等线" w:cs="等线"/>
      <w:kern w:val="2"/>
      <w:sz w:val="21"/>
      <w:szCs w:val="21"/>
      <w:lang w:val="en-US" w:eastAsia="zh-CN" w:bidi="ar-SA"/>
    </w:rPr>
  </w:style>
  <w:style w:type="paragraph" w:customStyle="1" w:styleId="70">
    <w:name w:val="Char Char Char Char"/>
    <w:basedOn w:val="1"/>
    <w:semiHidden/>
    <w:qFormat/>
    <w:uiPriority w:val="99"/>
  </w:style>
  <w:style w:type="paragraph" w:customStyle="1" w:styleId="71">
    <w:name w:val="Char Char21"/>
    <w:basedOn w:val="1"/>
    <w:uiPriority w:val="99"/>
    <w:pPr>
      <w:spacing w:line="360" w:lineRule="auto"/>
      <w:ind w:firstLine="200" w:firstLineChars="200"/>
    </w:pPr>
    <w:rPr>
      <w:rFonts w:ascii="Times New Roman" w:hAnsi="Times New Roman" w:eastAsia="仿宋_GB2312" w:cs="Times New Roman"/>
      <w:sz w:val="30"/>
      <w:szCs w:val="30"/>
    </w:rPr>
  </w:style>
  <w:style w:type="paragraph" w:customStyle="1" w:styleId="72">
    <w:name w:val="Heading 11"/>
    <w:basedOn w:val="1"/>
    <w:uiPriority w:val="99"/>
    <w:pPr>
      <w:autoSpaceDE w:val="0"/>
      <w:autoSpaceDN w:val="0"/>
      <w:adjustRightInd w:val="0"/>
      <w:ind w:left="1013"/>
      <w:jc w:val="left"/>
      <w:outlineLvl w:val="0"/>
    </w:pPr>
    <w:rPr>
      <w:rFonts w:ascii="方正小标宋简体" w:hAnsi="Times New Roman" w:eastAsia="方正小标宋简体" w:cs="方正小标宋简体"/>
      <w:kern w:val="0"/>
      <w:sz w:val="44"/>
      <w:szCs w:val="44"/>
    </w:rPr>
  </w:style>
  <w:style w:type="paragraph" w:customStyle="1" w:styleId="73">
    <w:name w:val="正文111"/>
    <w:basedOn w:val="1"/>
    <w:uiPriority w:val="99"/>
    <w:pPr>
      <w:spacing w:beforeLines="25" w:afterLines="25" w:line="360" w:lineRule="auto"/>
      <w:ind w:firstLine="200" w:firstLineChars="200"/>
    </w:pPr>
    <w:rPr>
      <w:rFonts w:ascii="华文仿宋" w:hAnsi="华文仿宋" w:eastAsia="华文仿宋" w:cs="华文仿宋"/>
      <w:sz w:val="30"/>
      <w:szCs w:val="30"/>
    </w:rPr>
  </w:style>
  <w:style w:type="character" w:customStyle="1" w:styleId="74">
    <w:name w:val="Heading 2 Char1"/>
    <w:link w:val="2"/>
    <w:semiHidden/>
    <w:locked/>
    <w:uiPriority w:val="99"/>
    <w:rPr>
      <w:rFonts w:ascii="等线 Light" w:hAnsi="等线 Light" w:eastAsia="等线 Light" w:cs="等线 Light"/>
      <w:b/>
      <w:bCs/>
      <w:kern w:val="2"/>
      <w:sz w:val="32"/>
      <w:szCs w:val="32"/>
    </w:rPr>
  </w:style>
  <w:style w:type="paragraph" w:customStyle="1" w:styleId="75">
    <w:name w:val="_Style 8"/>
    <w:basedOn w:val="1"/>
    <w:semiHidden/>
    <w:uiPriority w:val="99"/>
    <w:rPr>
      <w:rFonts w:ascii="Calibri" w:hAnsi="Calibri" w:eastAsia="宋体"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12</Pages>
  <Words>817</Words>
  <Characters>4657</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2019-11-04T00:43:00Z</dcterms:created>
  <dc:creator>微软用户</dc:creator>
  <cp:lastModifiedBy>Administrator</cp:lastModifiedBy>
  <cp:lastPrinted>2019-08-15T14:54:00Z</cp:lastPrinted>
  <dcterms:modified xsi:type="dcterms:W3CDTF">2024-01-16T08:57:39Z</dcterms:modified>
  <dc:title>中共云南省人民代表大会常务委员会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