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p>
    <w:p>
      <w:pPr>
        <w:jc w:val="center"/>
        <w:rPr>
          <w:b/>
          <w:sz w:val="44"/>
          <w:szCs w:val="44"/>
        </w:rPr>
      </w:pPr>
      <w:r>
        <w:rPr>
          <w:rFonts w:hint="eastAsia"/>
          <w:b/>
          <w:sz w:val="44"/>
          <w:szCs w:val="44"/>
        </w:rPr>
        <w:t>2022 年临翔区社会保险基金预算收支科目变动说明</w:t>
      </w:r>
    </w:p>
    <w:p>
      <w:pPr>
        <w:jc w:val="center"/>
        <w:rPr>
          <w:b/>
          <w:sz w:val="44"/>
          <w:szCs w:val="44"/>
        </w:rPr>
      </w:pPr>
    </w:p>
    <w:p>
      <w:pPr>
        <w:rPr>
          <w:sz w:val="32"/>
          <w:szCs w:val="32"/>
        </w:rPr>
      </w:pPr>
    </w:p>
    <w:p>
      <w:pPr>
        <w:ind w:firstLine="320" w:firstLineChars="1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临翔区社会保险收支为各项基金收支合计数之和，包含上级补助收入及上解上级支出。</w:t>
      </w:r>
    </w:p>
    <w:p>
      <w:pPr>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（一）企业职工基本养老保险收支变动的原因：一是根据临沧市人力资源和社会保障局关于印发《实施临沧社保服务“康乃馨 ”行动方案》临人社发〔2022〕529 号文件的通知，实现精准扩面,2022 年完成企业职工养老保险扩面任务的 120%;二是受政策因素影响，基数增长，以上因素影响导致2022年企业职工基本养老保险总收入比上年同期增长较大。</w:t>
      </w:r>
    </w:p>
    <w:p>
      <w:pPr>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（二）根据《云南省人力资源和社会保障厅 云南省财政厅关于印发云南省工伤保险基金省级统筹实施办法的通知》云人社发【2020】14 号文件要求，工伤保险2020年10月1日实行省级统筹，市级管理，县级取消财政专户，保费收入统一在市级核算。我区共享受工伤保险待遇人数 167 人，工伤保险支出 909万元，其中：工伤保险待遇支出 909万元，预算执行进度为 95.9%， 比 2021 年增长 3.4%。</w:t>
      </w:r>
    </w:p>
    <w:p>
      <w:pPr>
        <w:ind w:firstLine="320" w:firstLineChars="100"/>
        <w:rPr>
          <w:rFonts w:hint="eastAsia" w:ascii="宋体" w:hAnsi="宋体" w:eastAsia="宋体" w:cs="宋体"/>
          <w:color w:val="000000" w:themeColor="text1"/>
          <w:kern w:val="0"/>
          <w:sz w:val="24"/>
          <w:szCs w:val="24"/>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（三）机关事业养老保险收支变动原因主要是</w:t>
      </w: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ascii="Times New Roman" w:hAnsi="Times New Roman" w:eastAsia="宋体" w:cs="Times New Roman"/>
          <w:color w:val="000000" w:themeColor="text1"/>
          <w:kern w:val="0"/>
          <w:sz w:val="32"/>
          <w:szCs w:val="32"/>
          <w14:textFill>
            <w14:solidFill>
              <w14:schemeClr w14:val="tx1"/>
            </w14:solidFill>
          </w14:textFill>
        </w:rPr>
        <w:t xml:space="preserve">2022 </w:t>
      </w:r>
      <w:r>
        <w:rPr>
          <w:rFonts w:hint="eastAsia" w:ascii="仿宋_GB2312" w:hAnsi="宋体" w:eastAsia="仿宋_GB2312" w:cs="宋体"/>
          <w:color w:val="000000" w:themeColor="text1"/>
          <w:kern w:val="0"/>
          <w:sz w:val="32"/>
          <w:szCs w:val="32"/>
          <w14:textFill>
            <w14:solidFill>
              <w14:schemeClr w14:val="tx1"/>
            </w14:solidFill>
          </w14:textFill>
        </w:rPr>
        <w:t>年中央安排下达了中央调整基本养老金水平补助资金，财政补助收入增加及其他支出增加。</w:t>
      </w:r>
    </w:p>
    <w:p>
      <w:pPr>
        <w:ind w:firstLine="640" w:firstLineChars="200"/>
        <w:rPr>
          <w:rFonts w:hint="eastAsia" w:ascii="仿宋_GB2312" w:eastAsia="仿宋_GB2312" w:hAnsi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（四）城乡居民基本养老保险收支变动的原因：一是由于 2022 年被征地农民养老保险一次性划转缴费补贴增加；二是根据（云人社通〔2021〕 97 号）文件要求，2022 年起调整云南省城乡居民基本养老保险最低缴费档次标准由 100 元调整为 200 元，保费收入增加。三是根据（云人社险发〔2022〕6 号）文件要求，提高全国基础养老金最低标准，自 2022 年 7 月 1 日起，由每人每月 93 元 增加至每人每月 98 元，保险待遇支出增加</w:t>
      </w:r>
      <w:r>
        <w:rPr>
          <w:rFonts w:hint="eastAsia" w:ascii="仿宋_GB2312" w:eastAsia="仿宋_GB2312" w:hAnsiTheme="minorEastAsia"/>
          <w:color w:val="000000" w:themeColor="text1"/>
          <w:sz w:val="32"/>
          <w:szCs w:val="32"/>
          <w:lang w:eastAsia="zh-CN"/>
          <w14:textFill>
            <w14:solidFill>
              <w14:schemeClr w14:val="tx1"/>
            </w14:solidFill>
          </w14:textFill>
        </w:rPr>
        <w:t>。</w:t>
      </w:r>
    </w:p>
    <w:p>
      <w:pPr>
        <w:ind w:firstLine="640" w:firstLineChars="200"/>
        <w:rPr>
          <w:rFonts w:hint="eastAsia"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（五）失业保险2022年失业保险基金收支变动的原因为 ： 一是从 2022 年 10 月 1 日起，提高失业保险金标准，失业保险金支出较上年增加；二是2022 年失业保险稳岗返还标准大幅提升，失业保险稳岗返还支出增加。</w:t>
      </w:r>
    </w:p>
    <w:p>
      <w:pPr>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六）、城乡居民医疗保险收支变动的原因主要是受政策因素影响，筹资标准由人均900元提高960元，收入增加；城乡居民医疗保险2022年基金收入含中央财政补贴559万元，2021年则中央和省级财政补贴未直达本级列支，同比财政补助收入增加。</w:t>
      </w:r>
    </w:p>
    <w:p>
      <w:pPr>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（七）、城镇职工基本医疗保险收支变动的主要原因是保费收入受政策因素影响，缴费基数增长，保费收入较2021年增长。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MzI3M2MzNzYzNzM4MGYzNmUzYjBkZjY2OThiZTMifQ=="/>
  </w:docVars>
  <w:rsids>
    <w:rsidRoot w:val="009E2E13"/>
    <w:rsid w:val="00047D24"/>
    <w:rsid w:val="00064B4A"/>
    <w:rsid w:val="00130659"/>
    <w:rsid w:val="001357F1"/>
    <w:rsid w:val="001819A5"/>
    <w:rsid w:val="00196DC0"/>
    <w:rsid w:val="002B7513"/>
    <w:rsid w:val="002C7467"/>
    <w:rsid w:val="00361F48"/>
    <w:rsid w:val="0054009A"/>
    <w:rsid w:val="00621ECE"/>
    <w:rsid w:val="0066337C"/>
    <w:rsid w:val="007C5086"/>
    <w:rsid w:val="007E446F"/>
    <w:rsid w:val="00882FA2"/>
    <w:rsid w:val="009E2E13"/>
    <w:rsid w:val="00A41852"/>
    <w:rsid w:val="00AA5319"/>
    <w:rsid w:val="00AD2E8E"/>
    <w:rsid w:val="00AE0F34"/>
    <w:rsid w:val="00D149AA"/>
    <w:rsid w:val="00DF4100"/>
    <w:rsid w:val="00E358F0"/>
    <w:rsid w:val="00F07E29"/>
    <w:rsid w:val="46E518FD"/>
    <w:rsid w:val="4A907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6F235-3F67-4717-8758-87982F01AE65}">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867</Characters>
  <Lines>7</Lines>
  <Paragraphs>2</Paragraphs>
  <TotalTime>354</TotalTime>
  <ScaleCrop>false</ScaleCrop>
  <LinksUpToDate>false</LinksUpToDate>
  <CharactersWithSpaces>1016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2023-08-25T08:16:00Z</dcterms:created>
  <dc:creator>DELL</dc:creator>
  <cp:lastModifiedBy>DELL</cp:lastModifiedBy>
  <dcterms:modified xsi:type="dcterms:W3CDTF">2023-09-04T01:30:51Z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064BF953B7F7405FB6AC8959A14F110B_12</vt:lpwstr>
  </property>
</Properties>
</file>