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Times New Roman" w:hAnsi="Times New Roman" w:eastAsia="方正小标宋简体" w:cs="Times New Roman"/>
          <w:color w:val="auto"/>
          <w:sz w:val="28"/>
          <w:szCs w:val="28"/>
        </w:rPr>
      </w:pPr>
      <w:r>
        <w:rPr>
          <w:rFonts w:hint="default" w:ascii="Times New Roman" w:hAnsi="Times New Roman" w:eastAsia="黑体" w:cs="Times New Roman"/>
          <w:color w:val="auto"/>
          <w:sz w:val="28"/>
          <w:szCs w:val="28"/>
        </w:rPr>
        <w:t>【区</w:t>
      </w:r>
      <w:r>
        <w:rPr>
          <w:rFonts w:hint="default" w:ascii="Times New Roman" w:hAnsi="Times New Roman" w:eastAsia="黑体" w:cs="Times New Roman"/>
          <w:color w:val="auto"/>
          <w:sz w:val="28"/>
          <w:szCs w:val="28"/>
          <w:lang w:val="en-US" w:eastAsia="zh-CN"/>
        </w:rPr>
        <w:t>五</w:t>
      </w:r>
      <w:r>
        <w:rPr>
          <w:rFonts w:hint="default" w:ascii="Times New Roman" w:hAnsi="Times New Roman" w:eastAsia="黑体" w:cs="Times New Roman"/>
          <w:color w:val="auto"/>
          <w:sz w:val="28"/>
          <w:szCs w:val="28"/>
        </w:rPr>
        <w:t>届人大</w:t>
      </w:r>
      <w:r>
        <w:rPr>
          <w:rFonts w:hint="default" w:ascii="Times New Roman" w:hAnsi="Times New Roman" w:eastAsia="黑体" w:cs="Times New Roman"/>
          <w:color w:val="auto"/>
          <w:sz w:val="28"/>
          <w:szCs w:val="28"/>
          <w:lang w:val="en-US" w:eastAsia="zh-CN"/>
        </w:rPr>
        <w:t>一</w:t>
      </w:r>
      <w:r>
        <w:rPr>
          <w:rFonts w:hint="default" w:ascii="Times New Roman" w:hAnsi="Times New Roman" w:eastAsia="黑体" w:cs="Times New Roman"/>
          <w:color w:val="auto"/>
          <w:sz w:val="28"/>
          <w:szCs w:val="28"/>
        </w:rPr>
        <w:t>次会议文件之</w:t>
      </w:r>
      <w:r>
        <w:rPr>
          <w:rFonts w:hint="eastAsia" w:ascii="Times New Roman" w:hAnsi="Times New Roman" w:eastAsia="黑体" w:cs="Times New Roman"/>
          <w:color w:val="auto"/>
          <w:sz w:val="28"/>
          <w:szCs w:val="28"/>
          <w:lang w:val="en-US" w:eastAsia="zh-CN"/>
        </w:rPr>
        <w:t>十四</w:t>
      </w:r>
      <w:r>
        <w:rPr>
          <w:rFonts w:hint="default" w:ascii="Times New Roman" w:hAnsi="Times New Roman" w:eastAsia="黑体" w:cs="Times New Roman"/>
          <w:color w:val="auto"/>
          <w:sz w:val="28"/>
          <w:szCs w:val="28"/>
        </w:rPr>
        <w:t>】</w:t>
      </w:r>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方正小标宋_GBK" w:cs="Times New Roman"/>
          <w:color w:val="auto"/>
          <w:sz w:val="44"/>
          <w:szCs w:val="44"/>
        </w:rPr>
      </w:pPr>
    </w:p>
    <w:p>
      <w:pPr>
        <w:keepNext w:val="0"/>
        <w:keepLines w:val="0"/>
        <w:pageBreakBefore w:val="0"/>
        <w:widowControl w:val="0"/>
        <w:kinsoku/>
        <w:wordWrap/>
        <w:overflowPunct/>
        <w:topLinePunct w:val="0"/>
        <w:autoSpaceDE w:val="0"/>
        <w:autoSpaceDN/>
        <w:bidi w:val="0"/>
        <w:adjustRightInd/>
        <w:snapToGrid/>
        <w:spacing w:beforeLines="0" w:afterLines="0"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临沧市临翔区</w:t>
      </w:r>
      <w:r>
        <w:rPr>
          <w:rFonts w:hint="eastAsia" w:ascii="方正小标宋简体" w:hAnsi="方正小标宋简体" w:eastAsia="方正小标宋简体" w:cs="方正小标宋简体"/>
          <w:color w:val="auto"/>
          <w:sz w:val="44"/>
          <w:szCs w:val="44"/>
          <w:lang w:val="en-US" w:eastAsia="zh-CN"/>
        </w:rPr>
        <w:t>2021</w:t>
      </w:r>
      <w:r>
        <w:rPr>
          <w:rFonts w:hint="eastAsia" w:ascii="方正小标宋简体" w:hAnsi="方正小标宋简体" w:eastAsia="方正小标宋简体" w:cs="方正小标宋简体"/>
          <w:color w:val="auto"/>
          <w:sz w:val="44"/>
          <w:szCs w:val="44"/>
        </w:rPr>
        <w:t>年国民经济和社会发展</w:t>
      </w:r>
    </w:p>
    <w:p>
      <w:pPr>
        <w:keepNext w:val="0"/>
        <w:keepLines w:val="0"/>
        <w:pageBreakBefore w:val="0"/>
        <w:widowControl w:val="0"/>
        <w:kinsoku/>
        <w:wordWrap/>
        <w:overflowPunct/>
        <w:topLinePunct w:val="0"/>
        <w:autoSpaceDE w:val="0"/>
        <w:autoSpaceDN/>
        <w:bidi w:val="0"/>
        <w:adjustRightInd/>
        <w:snapToGrid/>
        <w:spacing w:beforeLines="0" w:afterLines="0"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计划执行情况与</w:t>
      </w:r>
      <w:r>
        <w:rPr>
          <w:rFonts w:hint="eastAsia" w:ascii="方正小标宋简体" w:hAnsi="方正小标宋简体" w:eastAsia="方正小标宋简体" w:cs="方正小标宋简体"/>
          <w:color w:val="auto"/>
          <w:sz w:val="44"/>
          <w:szCs w:val="44"/>
          <w:lang w:val="en-US" w:eastAsia="zh-CN"/>
        </w:rPr>
        <w:t>2022</w:t>
      </w:r>
      <w:r>
        <w:rPr>
          <w:rFonts w:hint="eastAsia" w:ascii="方正小标宋简体" w:hAnsi="方正小标宋简体" w:eastAsia="方正小标宋简体" w:cs="方正小标宋简体"/>
          <w:color w:val="auto"/>
          <w:sz w:val="44"/>
          <w:szCs w:val="44"/>
        </w:rPr>
        <w:t>年国民经济和社会</w:t>
      </w:r>
    </w:p>
    <w:p>
      <w:pPr>
        <w:keepNext w:val="0"/>
        <w:keepLines w:val="0"/>
        <w:pageBreakBefore w:val="0"/>
        <w:widowControl w:val="0"/>
        <w:kinsoku/>
        <w:wordWrap/>
        <w:overflowPunct/>
        <w:topLinePunct w:val="0"/>
        <w:autoSpaceDE w:val="0"/>
        <w:autoSpaceDN/>
        <w:bidi w:val="0"/>
        <w:adjustRightInd/>
        <w:snapToGrid/>
        <w:spacing w:beforeLines="0" w:afterLines="0"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发展计划草案的报告</w:t>
      </w:r>
      <w:r>
        <w:rPr>
          <w:rFonts w:hint="eastAsia" w:ascii="方正小标宋简体" w:hAnsi="方正小标宋简体" w:eastAsia="方正小标宋简体" w:cs="方正小标宋简体"/>
          <w:color w:val="auto"/>
          <w:sz w:val="44"/>
          <w:szCs w:val="44"/>
          <w:lang w:eastAsia="zh-CN"/>
        </w:rPr>
        <w:t>（书面）</w:t>
      </w:r>
    </w:p>
    <w:p>
      <w:pPr>
        <w:keepNext w:val="0"/>
        <w:keepLines w:val="0"/>
        <w:pageBreakBefore w:val="0"/>
        <w:widowControl w:val="0"/>
        <w:kinsoku/>
        <w:wordWrap/>
        <w:overflowPunct/>
        <w:topLinePunct w:val="0"/>
        <w:autoSpaceDE w:val="0"/>
        <w:autoSpaceDN/>
        <w:bidi w:val="0"/>
        <w:adjustRightInd/>
        <w:snapToGrid/>
        <w:spacing w:beforeLines="0" w:afterLines="0" w:line="700" w:lineRule="exact"/>
        <w:ind w:left="0" w:leftChars="0" w:right="0" w:rightChars="0" w:firstLine="0" w:firstLineChars="0"/>
        <w:jc w:val="center"/>
        <w:textAlignment w:val="auto"/>
        <w:outlineLvl w:val="9"/>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pacing w:val="-6"/>
          <w:sz w:val="32"/>
          <w:szCs w:val="32"/>
        </w:rPr>
        <w:t>——</w:t>
      </w:r>
      <w:r>
        <w:rPr>
          <w:rFonts w:hint="eastAsia" w:ascii="方正楷体_GBK" w:hAnsi="方正楷体_GBK" w:eastAsia="方正楷体_GBK" w:cs="方正楷体_GBK"/>
          <w:color w:val="auto"/>
          <w:spacing w:val="-6"/>
          <w:sz w:val="32"/>
          <w:szCs w:val="32"/>
          <w:lang w:val="en-US" w:eastAsia="zh-CN"/>
        </w:rPr>
        <w:t>2022</w:t>
      </w:r>
      <w:r>
        <w:rPr>
          <w:rFonts w:hint="eastAsia" w:ascii="方正楷体_GBK" w:hAnsi="方正楷体_GBK" w:eastAsia="方正楷体_GBK" w:cs="方正楷体_GBK"/>
          <w:color w:val="auto"/>
          <w:sz w:val="32"/>
          <w:szCs w:val="32"/>
        </w:rPr>
        <w:t>年</w:t>
      </w:r>
      <w:r>
        <w:rPr>
          <w:rFonts w:hint="eastAsia" w:ascii="方正楷体_GBK" w:hAnsi="方正楷体_GBK" w:eastAsia="方正楷体_GBK" w:cs="方正楷体_GBK"/>
          <w:color w:val="auto"/>
          <w:sz w:val="32"/>
          <w:szCs w:val="32"/>
          <w:lang w:val="en-US" w:eastAsia="zh-CN"/>
        </w:rPr>
        <w:t>1</w:t>
      </w:r>
      <w:r>
        <w:rPr>
          <w:rFonts w:hint="eastAsia" w:ascii="方正楷体_GBK" w:hAnsi="方正楷体_GBK" w:eastAsia="方正楷体_GBK" w:cs="方正楷体_GBK"/>
          <w:color w:val="auto"/>
          <w:sz w:val="32"/>
          <w:szCs w:val="32"/>
        </w:rPr>
        <w:t>月</w:t>
      </w:r>
      <w:r>
        <w:rPr>
          <w:rFonts w:hint="eastAsia" w:ascii="方正楷体_GBK" w:hAnsi="方正楷体_GBK" w:eastAsia="方正楷体_GBK" w:cs="方正楷体_GBK"/>
          <w:color w:val="auto"/>
          <w:sz w:val="32"/>
          <w:szCs w:val="32"/>
          <w:lang w:val="en-US" w:eastAsia="zh-CN"/>
        </w:rPr>
        <w:t>26</w:t>
      </w:r>
      <w:r>
        <w:rPr>
          <w:rFonts w:hint="eastAsia" w:ascii="方正楷体_GBK" w:hAnsi="方正楷体_GBK" w:eastAsia="方正楷体_GBK" w:cs="方正楷体_GBK"/>
          <w:color w:val="auto"/>
          <w:sz w:val="32"/>
          <w:szCs w:val="32"/>
        </w:rPr>
        <w:t>日在临沧市临翔区第</w:t>
      </w:r>
      <w:r>
        <w:rPr>
          <w:rFonts w:hint="eastAsia" w:ascii="方正楷体_GBK" w:hAnsi="方正楷体_GBK" w:eastAsia="方正楷体_GBK" w:cs="方正楷体_GBK"/>
          <w:color w:val="auto"/>
          <w:sz w:val="32"/>
          <w:szCs w:val="32"/>
          <w:lang w:eastAsia="zh-CN"/>
        </w:rPr>
        <w:t>五</w:t>
      </w:r>
      <w:r>
        <w:rPr>
          <w:rFonts w:hint="eastAsia" w:ascii="方正楷体_GBK" w:hAnsi="方正楷体_GBK" w:eastAsia="方正楷体_GBK" w:cs="方正楷体_GBK"/>
          <w:color w:val="auto"/>
          <w:sz w:val="32"/>
          <w:szCs w:val="32"/>
        </w:rPr>
        <w:t>届人民代表大会</w:t>
      </w:r>
    </w:p>
    <w:p>
      <w:pPr>
        <w:keepNext w:val="0"/>
        <w:keepLines w:val="0"/>
        <w:pageBreakBefore w:val="0"/>
        <w:widowControl w:val="0"/>
        <w:kinsoku/>
        <w:wordWrap/>
        <w:overflowPunct/>
        <w:topLinePunct w:val="0"/>
        <w:autoSpaceDE w:val="0"/>
        <w:autoSpaceDN/>
        <w:bidi w:val="0"/>
        <w:adjustRightInd/>
        <w:snapToGrid/>
        <w:spacing w:beforeLines="0" w:afterLines="0" w:line="700" w:lineRule="exact"/>
        <w:ind w:left="0" w:leftChars="0" w:right="0" w:rightChars="0" w:firstLine="0" w:firstLineChars="0"/>
        <w:jc w:val="center"/>
        <w:textAlignment w:val="auto"/>
        <w:outlineLvl w:val="9"/>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第</w:t>
      </w:r>
      <w:r>
        <w:rPr>
          <w:rFonts w:hint="eastAsia" w:ascii="方正楷体_GBK" w:hAnsi="方正楷体_GBK" w:eastAsia="方正楷体_GBK" w:cs="方正楷体_GBK"/>
          <w:color w:val="auto"/>
          <w:sz w:val="32"/>
          <w:szCs w:val="32"/>
          <w:lang w:val="en-US" w:eastAsia="zh-CN"/>
        </w:rPr>
        <w:t>一</w:t>
      </w:r>
      <w:r>
        <w:rPr>
          <w:rFonts w:hint="eastAsia" w:ascii="方正楷体_GBK" w:hAnsi="方正楷体_GBK" w:eastAsia="方正楷体_GBK" w:cs="方正楷体_GBK"/>
          <w:color w:val="auto"/>
          <w:sz w:val="32"/>
          <w:szCs w:val="32"/>
        </w:rPr>
        <w:t>次会议上</w:t>
      </w:r>
    </w:p>
    <w:p>
      <w:pPr>
        <w:keepNext w:val="0"/>
        <w:keepLines w:val="0"/>
        <w:pageBreakBefore w:val="0"/>
        <w:widowControl w:val="0"/>
        <w:kinsoku/>
        <w:wordWrap/>
        <w:overflowPunct/>
        <w:topLinePunct w:val="0"/>
        <w:autoSpaceDE w:val="0"/>
        <w:autoSpaceDN/>
        <w:bidi w:val="0"/>
        <w:adjustRightInd/>
        <w:snapToGrid/>
        <w:spacing w:beforeLines="0" w:afterLines="0" w:line="700" w:lineRule="exact"/>
        <w:ind w:left="0" w:leftChars="0" w:right="0" w:rightChars="0" w:firstLine="0" w:firstLineChars="0"/>
        <w:jc w:val="center"/>
        <w:textAlignment w:val="auto"/>
        <w:outlineLvl w:val="9"/>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临沧市临翔区发展和改革局</w:t>
      </w:r>
    </w:p>
    <w:p>
      <w:pPr>
        <w:keepNext w:val="0"/>
        <w:keepLines w:val="0"/>
        <w:pageBreakBefore w:val="0"/>
        <w:widowControl w:val="0"/>
        <w:kinsoku/>
        <w:wordWrap/>
        <w:overflowPunct/>
        <w:topLinePunct w:val="0"/>
        <w:autoSpaceDE w:val="0"/>
        <w:autoSpaceDN/>
        <w:bidi w:val="0"/>
        <w:adjustRightInd w:val="0"/>
        <w:snapToGrid/>
        <w:spacing w:line="560" w:lineRule="exact"/>
        <w:ind w:left="0" w:leftChars="0" w:right="0" w:rightChars="0"/>
        <w:outlineLvl w:val="9"/>
        <w:rPr>
          <w:rFonts w:hint="default" w:ascii="Times New Roman" w:hAnsi="Times New Roman" w:eastAsia="方正楷体_GBK" w:cs="Times New Roman"/>
          <w:b/>
          <w:bCs/>
          <w:color w:val="auto"/>
          <w:sz w:val="32"/>
          <w:szCs w:val="32"/>
        </w:rPr>
      </w:pPr>
    </w:p>
    <w:p>
      <w:pPr>
        <w:keepNext w:val="0"/>
        <w:keepLines w:val="0"/>
        <w:pageBreakBefore w:val="0"/>
        <w:widowControl w:val="0"/>
        <w:kinsoku/>
        <w:wordWrap/>
        <w:overflowPunct/>
        <w:topLinePunct w:val="0"/>
        <w:autoSpaceDE w:val="0"/>
        <w:autoSpaceDN/>
        <w:bidi w:val="0"/>
        <w:adjustRightInd w:val="0"/>
        <w:snapToGrid/>
        <w:spacing w:line="560" w:lineRule="exact"/>
        <w:ind w:left="0" w:leftChars="0" w:right="0" w:rightChars="0"/>
        <w:outlineLvl w:val="9"/>
        <w:rPr>
          <w:rFonts w:hint="default" w:ascii="Times New Roman" w:hAnsi="Times New Roman" w:eastAsia="方正楷体_GBK" w:cs="Times New Roman"/>
          <w:b/>
          <w:bCs/>
          <w:color w:val="auto"/>
          <w:sz w:val="32"/>
          <w:szCs w:val="32"/>
        </w:rPr>
      </w:pPr>
      <w:r>
        <w:rPr>
          <w:rFonts w:hint="default" w:ascii="Times New Roman" w:hAnsi="Times New Roman" w:eastAsia="方正楷体_GBK" w:cs="Times New Roman"/>
          <w:b/>
          <w:bCs/>
          <w:color w:val="auto"/>
          <w:sz w:val="32"/>
          <w:szCs w:val="32"/>
        </w:rPr>
        <w:t>各位代表：</w:t>
      </w:r>
    </w:p>
    <w:p>
      <w:pPr>
        <w:keepNext w:val="0"/>
        <w:keepLines w:val="0"/>
        <w:pageBreakBefore w:val="0"/>
        <w:widowControl w:val="0"/>
        <w:kinsoku/>
        <w:wordWrap/>
        <w:overflowPunct/>
        <w:topLinePunct w:val="0"/>
        <w:autoSpaceDE w:val="0"/>
        <w:autoSpaceDN/>
        <w:bidi w:val="0"/>
        <w:adjustRightInd w:val="0"/>
        <w:snapToGrid/>
        <w:spacing w:line="560" w:lineRule="exact"/>
        <w:ind w:left="0" w:leftChars="0" w:right="0" w:rightChars="0" w:firstLine="640" w:firstLineChars="200"/>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现将临翔区</w:t>
      </w:r>
      <w:r>
        <w:rPr>
          <w:rFonts w:hint="eastAsia" w:ascii="仿宋_GB2312" w:hAnsi="仿宋_GB2312" w:eastAsia="仿宋_GB2312" w:cs="仿宋_GB2312"/>
          <w:color w:val="auto"/>
          <w:sz w:val="32"/>
          <w:szCs w:val="32"/>
          <w:lang w:val="en-US" w:eastAsia="zh-CN"/>
        </w:rPr>
        <w:t>2021</w:t>
      </w:r>
      <w:r>
        <w:rPr>
          <w:rFonts w:hint="eastAsia" w:ascii="仿宋_GB2312" w:hAnsi="仿宋_GB2312" w:eastAsia="仿宋_GB2312" w:cs="仿宋_GB2312"/>
          <w:color w:val="auto"/>
          <w:sz w:val="32"/>
          <w:szCs w:val="32"/>
        </w:rPr>
        <w:t>年国民经济和社会发展计划执行情况与</w:t>
      </w:r>
      <w:r>
        <w:rPr>
          <w:rFonts w:hint="eastAsia" w:ascii="仿宋_GB2312" w:hAnsi="仿宋_GB2312" w:eastAsia="仿宋_GB2312" w:cs="仿宋_GB2312"/>
          <w:color w:val="auto"/>
          <w:sz w:val="32"/>
          <w:szCs w:val="32"/>
          <w:lang w:val="en-US" w:eastAsia="zh-CN"/>
        </w:rPr>
        <w:t>2022</w:t>
      </w:r>
      <w:r>
        <w:rPr>
          <w:rFonts w:hint="eastAsia" w:ascii="仿宋_GB2312" w:hAnsi="仿宋_GB2312" w:eastAsia="仿宋_GB2312" w:cs="仿宋_GB2312"/>
          <w:color w:val="auto"/>
          <w:sz w:val="32"/>
          <w:szCs w:val="32"/>
        </w:rPr>
        <w:t>年国民经济和社会发展计划草案提请区</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届人大</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次会议审查，并请区政协委员和列席人员提出意见。</w:t>
      </w:r>
    </w:p>
    <w:p>
      <w:pPr>
        <w:keepNext w:val="0"/>
        <w:keepLines w:val="0"/>
        <w:pageBreakBefore w:val="0"/>
        <w:widowControl w:val="0"/>
        <w:kinsoku/>
        <w:wordWrap/>
        <w:overflowPunct/>
        <w:topLinePunct w:val="0"/>
        <w:autoSpaceDE w:val="0"/>
        <w:autoSpaceDN/>
        <w:bidi w:val="0"/>
        <w:adjustRightInd w:val="0"/>
        <w:snapToGrid/>
        <w:spacing w:line="560" w:lineRule="exact"/>
        <w:ind w:left="0" w:leftChars="0" w:right="0" w:rightChars="0" w:firstLine="640" w:firstLineChars="200"/>
        <w:outlineLvl w:val="9"/>
        <w:rPr>
          <w:rFonts w:hint="eastAsia" w:ascii="黑体" w:hAnsi="黑体" w:eastAsia="黑体" w:cs="黑体"/>
          <w:color w:val="auto"/>
          <w:sz w:val="32"/>
          <w:szCs w:val="32"/>
        </w:rPr>
      </w:pPr>
      <w:r>
        <w:rPr>
          <w:rFonts w:hint="eastAsia" w:ascii="黑体" w:hAnsi="黑体" w:eastAsia="黑体" w:cs="黑体"/>
          <w:color w:val="auto"/>
          <w:sz w:val="32"/>
          <w:szCs w:val="32"/>
        </w:rPr>
        <w:t>一、</w:t>
      </w:r>
      <w:r>
        <w:rPr>
          <w:rFonts w:hint="eastAsia" w:ascii="黑体" w:hAnsi="黑体" w:eastAsia="黑体" w:cs="黑体"/>
          <w:color w:val="auto"/>
          <w:sz w:val="32"/>
          <w:szCs w:val="32"/>
          <w:lang w:val="en-US" w:eastAsia="zh-CN"/>
        </w:rPr>
        <w:t>2021</w:t>
      </w:r>
      <w:r>
        <w:rPr>
          <w:rFonts w:hint="eastAsia" w:ascii="黑体" w:hAnsi="黑体" w:eastAsia="黑体" w:cs="黑体"/>
          <w:color w:val="auto"/>
          <w:sz w:val="32"/>
          <w:szCs w:val="32"/>
        </w:rPr>
        <w:t>年国民经济和社会发展计划执行情况</w:t>
      </w:r>
    </w:p>
    <w:p>
      <w:pPr>
        <w:keepNext w:val="0"/>
        <w:keepLines w:val="0"/>
        <w:pageBreakBefore w:val="0"/>
        <w:widowControl w:val="0"/>
        <w:kinsoku/>
        <w:wordWrap/>
        <w:overflowPunct/>
        <w:topLinePunct w:val="0"/>
        <w:autoSpaceDE w:val="0"/>
        <w:autoSpaceDN/>
        <w:bidi w:val="0"/>
        <w:adjustRightInd w:val="0"/>
        <w:snapToGrid/>
        <w:spacing w:line="560" w:lineRule="exact"/>
        <w:ind w:left="0" w:leftChars="0" w:right="0" w:rightChars="0" w:firstLine="640" w:firstLineChars="200"/>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shd w:val="clear"/>
          <w:lang w:val="en-US" w:eastAsia="zh-CN"/>
        </w:rPr>
        <w:t>2021年是中国共产党成立100周年；是“十四五”规划开局之年；是全面开启临翔第二次跨越发展的关键之年。我们坚持以习近平新时代中国特色社会主义思想为指导，全面落实习近平总书记考察云南重要讲话、重要指示批示和</w:t>
      </w:r>
      <w:r>
        <w:rPr>
          <w:rFonts w:hint="eastAsia" w:ascii="仿宋_GB2312" w:hAnsi="仿宋_GB2312" w:eastAsia="仿宋_GB2312" w:cs="仿宋_GB2312"/>
          <w:color w:val="auto"/>
          <w:sz w:val="32"/>
          <w:szCs w:val="32"/>
          <w:highlight w:val="none"/>
          <w:shd w:val="clear"/>
          <w:lang w:eastAsia="zh-CN"/>
        </w:rPr>
        <w:t>“</w:t>
      </w:r>
      <w:r>
        <w:rPr>
          <w:rFonts w:hint="eastAsia" w:ascii="仿宋_GB2312" w:hAnsi="仿宋_GB2312" w:eastAsia="仿宋_GB2312" w:cs="仿宋_GB2312"/>
          <w:color w:val="auto"/>
          <w:sz w:val="32"/>
          <w:szCs w:val="32"/>
          <w:highlight w:val="none"/>
          <w:shd w:val="clear"/>
        </w:rPr>
        <w:t>八月回信</w:t>
      </w:r>
      <w:r>
        <w:rPr>
          <w:rFonts w:hint="eastAsia" w:ascii="仿宋_GB2312" w:hAnsi="仿宋_GB2312" w:eastAsia="仿宋_GB2312" w:cs="仿宋_GB2312"/>
          <w:color w:val="auto"/>
          <w:sz w:val="32"/>
          <w:szCs w:val="32"/>
          <w:highlight w:val="none"/>
          <w:shd w:val="clear"/>
          <w:lang w:eastAsia="zh-CN"/>
        </w:rPr>
        <w:t>”精神</w:t>
      </w:r>
      <w:r>
        <w:rPr>
          <w:rFonts w:hint="eastAsia" w:ascii="仿宋_GB2312" w:hAnsi="仿宋_GB2312" w:eastAsia="仿宋_GB2312" w:cs="仿宋_GB2312"/>
          <w:color w:val="auto"/>
          <w:sz w:val="32"/>
          <w:szCs w:val="32"/>
          <w:highlight w:val="none"/>
          <w:shd w:val="clear"/>
          <w:lang w:val="en-US" w:eastAsia="zh-CN"/>
        </w:rPr>
        <w:t>，深入贯彻党的十九大及历次全会、中央经济工作会议精神和省委十届历次全会、十一次党代会，市委四届历次全会、五届党代会，区委四届历次全会、五次党代会及省委、省政府临沧现场办公会精神。以“三个示范区”建设为统筹，坚持稳中求进工作总基调，全面贯彻新发展理念，服务和融入新发展格局，以推动高质量发展为主题，以深化供给侧结构性改革为主线，以改革创新为根本动力，</w:t>
      </w:r>
      <w:r>
        <w:rPr>
          <w:rFonts w:hint="eastAsia" w:ascii="仿宋_GB2312" w:hAnsi="仿宋_GB2312" w:eastAsia="仿宋_GB2312" w:cs="仿宋_GB2312"/>
          <w:color w:val="auto"/>
          <w:sz w:val="32"/>
          <w:szCs w:val="32"/>
          <w:lang w:val="en-US" w:eastAsia="zh-CN"/>
        </w:rPr>
        <w:t>扎实做好“六稳”工作，落实“六保”任务，加快工业化、城镇化、现代化进程，推进高质量跨越发展。</w:t>
      </w:r>
      <w:r>
        <w:rPr>
          <w:rFonts w:hint="eastAsia" w:ascii="仿宋_GB2312" w:hAnsi="仿宋_GB2312" w:eastAsia="仿宋_GB2312" w:cs="仿宋_GB2312"/>
          <w:color w:val="auto"/>
          <w:sz w:val="32"/>
          <w:szCs w:val="32"/>
        </w:rPr>
        <w:t>在经济发展、重大项目、</w:t>
      </w:r>
      <w:r>
        <w:rPr>
          <w:rFonts w:hint="eastAsia" w:ascii="仿宋_GB2312" w:hAnsi="仿宋_GB2312" w:eastAsia="仿宋_GB2312" w:cs="仿宋_GB2312"/>
          <w:color w:val="auto"/>
          <w:sz w:val="32"/>
          <w:szCs w:val="32"/>
          <w:lang w:val="en-US" w:eastAsia="zh-CN"/>
        </w:rPr>
        <w:t>产业发展、</w:t>
      </w:r>
      <w:r>
        <w:rPr>
          <w:rFonts w:hint="eastAsia" w:ascii="仿宋_GB2312" w:hAnsi="仿宋_GB2312" w:eastAsia="仿宋_GB2312" w:cs="仿宋_GB2312"/>
          <w:color w:val="auto"/>
          <w:sz w:val="32"/>
          <w:szCs w:val="32"/>
        </w:rPr>
        <w:t>新动能培育、</w:t>
      </w:r>
      <w:r>
        <w:rPr>
          <w:rFonts w:hint="eastAsia" w:ascii="仿宋_GB2312" w:hAnsi="仿宋_GB2312" w:eastAsia="仿宋_GB2312" w:cs="仿宋_GB2312"/>
          <w:color w:val="auto"/>
          <w:sz w:val="32"/>
          <w:szCs w:val="32"/>
          <w:lang w:val="en-US" w:eastAsia="zh-CN"/>
        </w:rPr>
        <w:t>生态文明、</w:t>
      </w:r>
      <w:r>
        <w:rPr>
          <w:rFonts w:hint="eastAsia" w:ascii="仿宋_GB2312" w:hAnsi="仿宋_GB2312" w:eastAsia="仿宋_GB2312" w:cs="仿宋_GB2312"/>
          <w:color w:val="auto"/>
          <w:sz w:val="32"/>
          <w:szCs w:val="32"/>
        </w:rPr>
        <w:t>人居环境等方面取得成效，呈现经济</w:t>
      </w:r>
      <w:r>
        <w:rPr>
          <w:rFonts w:hint="eastAsia" w:ascii="仿宋_GB2312" w:hAnsi="仿宋_GB2312" w:eastAsia="仿宋_GB2312" w:cs="仿宋_GB2312"/>
          <w:color w:val="auto"/>
          <w:sz w:val="32"/>
          <w:szCs w:val="32"/>
          <w:lang w:val="en-US" w:eastAsia="zh-CN"/>
        </w:rPr>
        <w:t>稳步复苏</w:t>
      </w:r>
      <w:r>
        <w:rPr>
          <w:rFonts w:hint="eastAsia" w:ascii="仿宋_GB2312" w:hAnsi="仿宋_GB2312" w:eastAsia="仿宋_GB2312" w:cs="仿宋_GB2312"/>
          <w:color w:val="auto"/>
          <w:sz w:val="32"/>
          <w:szCs w:val="32"/>
        </w:rPr>
        <w:t>、民族团结进步、社会和谐稳定的良好局面。</w:t>
      </w:r>
    </w:p>
    <w:p>
      <w:pPr>
        <w:pStyle w:val="12"/>
        <w:keepNext w:val="0"/>
        <w:keepLines w:val="0"/>
        <w:pageBreakBefore w:val="0"/>
        <w:widowControl w:val="0"/>
        <w:shd w:val="clear"/>
        <w:kinsoku/>
        <w:wordWrap/>
        <w:overflowPunct/>
        <w:topLinePunct w:val="0"/>
        <w:autoSpaceDN/>
        <w:bidi w:val="0"/>
        <w:spacing w:before="0" w:beforeAutospacing="0" w:after="0" w:afterAutospacing="0" w:line="560" w:lineRule="exact"/>
        <w:ind w:left="0" w:leftChars="0" w:right="0" w:rightChars="0" w:firstLine="643" w:firstLineChars="200"/>
        <w:jc w:val="both"/>
        <w:rPr>
          <w:rFonts w:hint="eastAsia" w:ascii="仿宋_GB2312" w:hAnsi="仿宋_GB2312" w:eastAsia="仿宋_GB2312" w:cs="仿宋_GB2312"/>
          <w:color w:val="auto"/>
          <w:kern w:val="2"/>
          <w:sz w:val="32"/>
          <w:szCs w:val="32"/>
          <w:highlight w:val="none"/>
          <w:shd w:val="clear"/>
          <w:lang w:val="en-US" w:eastAsia="zh-CN"/>
        </w:rPr>
      </w:pPr>
      <w:r>
        <w:rPr>
          <w:rFonts w:hint="eastAsia" w:ascii="楷体_GB2312" w:hAnsi="楷体_GB2312" w:eastAsia="楷体_GB2312" w:cs="楷体_GB2312"/>
          <w:b/>
          <w:bCs/>
          <w:color w:val="auto"/>
          <w:sz w:val="32"/>
          <w:szCs w:val="32"/>
          <w:highlight w:val="none"/>
          <w:shd w:val="clear"/>
          <w:lang w:val="en-US" w:eastAsia="zh-CN"/>
        </w:rPr>
        <w:t>（一）经济保持总体稳步复苏。</w:t>
      </w:r>
      <w:r>
        <w:rPr>
          <w:rFonts w:hint="eastAsia" w:ascii="仿宋_GB2312" w:hAnsi="仿宋_GB2312" w:eastAsia="仿宋_GB2312" w:cs="仿宋_GB2312"/>
          <w:color w:val="auto"/>
          <w:kern w:val="2"/>
          <w:sz w:val="32"/>
          <w:szCs w:val="32"/>
          <w:highlight w:val="none"/>
          <w:shd w:val="clear"/>
          <w:lang w:val="en-US" w:eastAsia="zh-CN" w:bidi="ar-SA"/>
        </w:rPr>
        <w:t>认真贯彻落实中央、省、市关于促进经济平稳健康发展的各项政策措施，制定出台25条实施意见，建立经济发展一领导六机制八专班机制，强化经济运行调度分析，推动经济</w:t>
      </w:r>
      <w:r>
        <w:rPr>
          <w:rFonts w:hint="eastAsia" w:ascii="仿宋_GB2312" w:hAnsi="仿宋_GB2312" w:eastAsia="仿宋_GB2312" w:cs="仿宋_GB2312"/>
          <w:color w:val="auto"/>
          <w:sz w:val="32"/>
          <w:szCs w:val="32"/>
          <w:lang w:val="en-US" w:eastAsia="zh-CN"/>
        </w:rPr>
        <w:t>稳步复苏</w:t>
      </w:r>
      <w:r>
        <w:rPr>
          <w:rFonts w:hint="eastAsia" w:ascii="仿宋_GB2312" w:hAnsi="仿宋_GB2312" w:eastAsia="仿宋_GB2312" w:cs="仿宋_GB2312"/>
          <w:color w:val="auto"/>
          <w:kern w:val="2"/>
          <w:sz w:val="32"/>
          <w:szCs w:val="32"/>
          <w:highlight w:val="none"/>
          <w:shd w:val="clear"/>
          <w:lang w:val="en-US" w:eastAsia="zh-CN" w:bidi="ar-SA"/>
        </w:rPr>
        <w:t>。实现</w:t>
      </w:r>
      <w:r>
        <w:rPr>
          <w:rFonts w:hint="eastAsia" w:ascii="仿宋_GB2312" w:hAnsi="仿宋_GB2312" w:eastAsia="仿宋_GB2312" w:cs="仿宋_GB2312"/>
          <w:b/>
          <w:bCs/>
          <w:color w:val="auto"/>
          <w:kern w:val="2"/>
          <w:sz w:val="32"/>
          <w:szCs w:val="32"/>
          <w:highlight w:val="none"/>
          <w:shd w:val="clear"/>
          <w:lang w:val="en-US" w:eastAsia="zh-CN" w:bidi="ar-SA"/>
        </w:rPr>
        <w:t>地区生产总值</w:t>
      </w:r>
      <w:r>
        <w:rPr>
          <w:rFonts w:hint="eastAsia" w:ascii="仿宋_GB2312" w:hAnsi="仿宋_GB2312" w:eastAsia="仿宋_GB2312" w:cs="仿宋_GB2312"/>
          <w:color w:val="auto"/>
          <w:kern w:val="2"/>
          <w:sz w:val="32"/>
          <w:szCs w:val="32"/>
          <w:highlight w:val="none"/>
          <w:shd w:val="clear"/>
          <w:lang w:val="en-US" w:eastAsia="zh-CN" w:bidi="ar-SA"/>
        </w:rPr>
        <w:t>184.2亿元，增长5%，未达到预期。完成</w:t>
      </w:r>
      <w:r>
        <w:rPr>
          <w:rFonts w:hint="eastAsia" w:ascii="仿宋_GB2312" w:hAnsi="仿宋_GB2312" w:eastAsia="仿宋_GB2312" w:cs="仿宋_GB2312"/>
          <w:b/>
          <w:bCs/>
          <w:color w:val="auto"/>
          <w:kern w:val="2"/>
          <w:sz w:val="32"/>
          <w:szCs w:val="32"/>
          <w:highlight w:val="none"/>
          <w:shd w:val="clear"/>
          <w:lang w:val="en-US" w:eastAsia="zh-CN" w:bidi="ar-SA"/>
        </w:rPr>
        <w:t>规模以上固定资产投资</w:t>
      </w:r>
      <w:r>
        <w:rPr>
          <w:rFonts w:hint="eastAsia" w:ascii="仿宋_GB2312" w:hAnsi="仿宋_GB2312" w:eastAsia="仿宋_GB2312" w:cs="仿宋_GB2312"/>
          <w:color w:val="auto"/>
          <w:kern w:val="2"/>
          <w:sz w:val="32"/>
          <w:szCs w:val="32"/>
          <w:highlight w:val="none"/>
          <w:shd w:val="clear"/>
          <w:lang w:val="en-US" w:eastAsia="zh-CN" w:bidi="ar-SA"/>
        </w:rPr>
        <w:t>114.1亿元，负增长20%。</w:t>
      </w:r>
      <w:r>
        <w:rPr>
          <w:rFonts w:hint="eastAsia" w:ascii="仿宋_GB2312" w:hAnsi="仿宋_GB2312" w:eastAsia="仿宋_GB2312" w:cs="仿宋_GB2312"/>
          <w:b/>
          <w:bCs/>
          <w:color w:val="auto"/>
          <w:sz w:val="32"/>
          <w:szCs w:val="32"/>
          <w:highlight w:val="none"/>
          <w:shd w:val="clear"/>
        </w:rPr>
        <w:t>规上工业增加值</w:t>
      </w:r>
      <w:r>
        <w:rPr>
          <w:rFonts w:hint="eastAsia" w:ascii="仿宋_GB2312" w:hAnsi="仿宋_GB2312" w:eastAsia="仿宋_GB2312" w:cs="仿宋_GB2312"/>
          <w:color w:val="auto"/>
          <w:kern w:val="2"/>
          <w:sz w:val="32"/>
          <w:szCs w:val="32"/>
          <w:highlight w:val="none"/>
          <w:shd w:val="clear"/>
          <w:lang w:val="en-US" w:eastAsia="zh-CN" w:bidi="ar-SA"/>
        </w:rPr>
        <w:t>增长8.7%，未达到预期。完成</w:t>
      </w:r>
      <w:r>
        <w:rPr>
          <w:rFonts w:hint="eastAsia" w:ascii="仿宋_GB2312" w:hAnsi="仿宋_GB2312" w:eastAsia="仿宋_GB2312" w:cs="仿宋_GB2312"/>
          <w:b/>
          <w:bCs/>
          <w:color w:val="auto"/>
          <w:sz w:val="32"/>
          <w:szCs w:val="32"/>
          <w:highlight w:val="none"/>
          <w:shd w:val="clear"/>
          <w:lang w:val="en-US" w:eastAsia="zh-CN"/>
        </w:rPr>
        <w:t>地方一般公共预算收入</w:t>
      </w:r>
      <w:r>
        <w:rPr>
          <w:rFonts w:hint="eastAsia" w:ascii="仿宋_GB2312" w:hAnsi="仿宋_GB2312" w:eastAsia="仿宋_GB2312" w:cs="仿宋_GB2312"/>
          <w:color w:val="auto"/>
          <w:kern w:val="2"/>
          <w:sz w:val="32"/>
          <w:szCs w:val="32"/>
          <w:highlight w:val="none"/>
          <w:shd w:val="clear"/>
          <w:lang w:val="en-US" w:eastAsia="zh-CN"/>
        </w:rPr>
        <w:t>9.22亿元，增长3.9%，</w:t>
      </w:r>
      <w:r>
        <w:rPr>
          <w:rFonts w:hint="eastAsia" w:ascii="仿宋_GB2312" w:hAnsi="仿宋_GB2312" w:eastAsia="仿宋_GB2312" w:cs="仿宋_GB2312"/>
          <w:color w:val="auto"/>
          <w:kern w:val="2"/>
          <w:sz w:val="32"/>
          <w:szCs w:val="32"/>
          <w:highlight w:val="none"/>
          <w:shd w:val="clear"/>
          <w:lang w:val="en-US" w:eastAsia="zh-CN" w:bidi="ar-SA"/>
        </w:rPr>
        <w:t>增速</w:t>
      </w:r>
      <w:r>
        <w:rPr>
          <w:rFonts w:hint="eastAsia" w:ascii="仿宋_GB2312" w:hAnsi="仿宋_GB2312" w:eastAsia="仿宋_GB2312" w:cs="仿宋_GB2312"/>
          <w:color w:val="auto"/>
          <w:kern w:val="2"/>
          <w:sz w:val="32"/>
          <w:szCs w:val="32"/>
          <w:highlight w:val="none"/>
          <w:shd w:val="clear"/>
          <w:lang w:val="en-US" w:eastAsia="zh-CN"/>
        </w:rPr>
        <w:t>高于目标0.4个百分点</w:t>
      </w:r>
      <w:r>
        <w:rPr>
          <w:rFonts w:hint="eastAsia" w:ascii="仿宋_GB2312" w:hAnsi="仿宋_GB2312" w:eastAsia="仿宋_GB2312" w:cs="仿宋_GB2312"/>
          <w:color w:val="auto"/>
          <w:kern w:val="2"/>
          <w:sz w:val="32"/>
          <w:szCs w:val="32"/>
          <w:highlight w:val="none"/>
          <w:shd w:val="clear"/>
          <w:lang w:val="en-US" w:eastAsia="zh-CN" w:bidi="ar-SA"/>
        </w:rPr>
        <w:t>。完成</w:t>
      </w:r>
      <w:r>
        <w:rPr>
          <w:rFonts w:hint="eastAsia" w:ascii="仿宋_GB2312" w:hAnsi="仿宋_GB2312" w:eastAsia="仿宋_GB2312" w:cs="仿宋_GB2312"/>
          <w:b/>
          <w:bCs/>
          <w:color w:val="auto"/>
          <w:sz w:val="32"/>
          <w:szCs w:val="32"/>
          <w:highlight w:val="none"/>
          <w:shd w:val="clear"/>
          <w:lang w:val="en-US" w:eastAsia="zh-CN"/>
        </w:rPr>
        <w:t>地方一般公共预算支出</w:t>
      </w:r>
      <w:r>
        <w:rPr>
          <w:rFonts w:hint="eastAsia" w:ascii="仿宋_GB2312" w:hAnsi="仿宋_GB2312" w:eastAsia="仿宋_GB2312" w:cs="仿宋_GB2312"/>
          <w:color w:val="auto"/>
          <w:kern w:val="2"/>
          <w:sz w:val="32"/>
          <w:szCs w:val="32"/>
          <w:highlight w:val="none"/>
          <w:shd w:val="clear"/>
          <w:lang w:val="en-US" w:eastAsia="zh-CN"/>
        </w:rPr>
        <w:t>27.93亿元，负增长23%</w:t>
      </w:r>
      <w:r>
        <w:rPr>
          <w:rFonts w:hint="eastAsia" w:ascii="仿宋_GB2312" w:hAnsi="仿宋_GB2312" w:eastAsia="仿宋_GB2312" w:cs="仿宋_GB2312"/>
          <w:color w:val="auto"/>
          <w:kern w:val="2"/>
          <w:sz w:val="32"/>
          <w:szCs w:val="32"/>
          <w:highlight w:val="none"/>
          <w:shd w:val="clear"/>
          <w:lang w:val="en-US" w:eastAsia="zh-CN" w:bidi="ar-SA"/>
        </w:rPr>
        <w:t>。完成</w:t>
      </w:r>
      <w:r>
        <w:rPr>
          <w:rFonts w:hint="eastAsia" w:ascii="仿宋_GB2312" w:hAnsi="仿宋_GB2312" w:eastAsia="仿宋_GB2312" w:cs="仿宋_GB2312"/>
          <w:b/>
          <w:bCs/>
          <w:color w:val="auto"/>
          <w:sz w:val="32"/>
          <w:szCs w:val="32"/>
          <w:highlight w:val="none"/>
          <w:shd w:val="clear"/>
          <w:lang w:val="en-US" w:eastAsia="zh-CN"/>
        </w:rPr>
        <w:t>社会消费品零售总额</w:t>
      </w:r>
      <w:r>
        <w:rPr>
          <w:rFonts w:hint="eastAsia" w:ascii="仿宋_GB2312" w:hAnsi="仿宋_GB2312" w:eastAsia="仿宋_GB2312" w:cs="仿宋_GB2312"/>
          <w:color w:val="auto"/>
          <w:kern w:val="2"/>
          <w:sz w:val="32"/>
          <w:szCs w:val="32"/>
          <w:highlight w:val="none"/>
          <w:shd w:val="clear"/>
          <w:lang w:val="en-US" w:eastAsia="zh-CN"/>
        </w:rPr>
        <w:t>108.6亿元，增长15.5%，高于目标3.5个百分点</w:t>
      </w:r>
      <w:r>
        <w:rPr>
          <w:rFonts w:hint="eastAsia" w:ascii="仿宋_GB2312" w:hAnsi="仿宋_GB2312" w:eastAsia="仿宋_GB2312" w:cs="仿宋_GB2312"/>
          <w:color w:val="auto"/>
          <w:kern w:val="2"/>
          <w:sz w:val="32"/>
          <w:szCs w:val="32"/>
          <w:highlight w:val="none"/>
          <w:shd w:val="clear"/>
          <w:lang w:val="en-US" w:eastAsia="zh-CN" w:bidi="ar-SA"/>
        </w:rPr>
        <w:t>。完成</w:t>
      </w:r>
      <w:r>
        <w:rPr>
          <w:rFonts w:hint="eastAsia" w:ascii="仿宋_GB2312" w:hAnsi="仿宋_GB2312" w:eastAsia="仿宋_GB2312" w:cs="仿宋_GB2312"/>
          <w:b/>
          <w:bCs/>
          <w:color w:val="auto"/>
          <w:sz w:val="32"/>
          <w:szCs w:val="32"/>
          <w:highlight w:val="none"/>
          <w:shd w:val="clear"/>
          <w:lang w:val="en-US" w:eastAsia="zh-CN"/>
        </w:rPr>
        <w:t>外贸进出口总额</w:t>
      </w:r>
      <w:r>
        <w:rPr>
          <w:rFonts w:hint="eastAsia" w:ascii="仿宋_GB2312" w:hAnsi="仿宋_GB2312" w:eastAsia="仿宋_GB2312" w:cs="仿宋_GB2312"/>
          <w:color w:val="auto"/>
          <w:kern w:val="2"/>
          <w:sz w:val="32"/>
          <w:szCs w:val="32"/>
          <w:highlight w:val="none"/>
          <w:shd w:val="clear"/>
          <w:lang w:val="en-US" w:eastAsia="zh-CN"/>
        </w:rPr>
        <w:t>1.48亿元，增长20%，高于目标4个百分点</w:t>
      </w:r>
      <w:r>
        <w:rPr>
          <w:rFonts w:hint="eastAsia" w:ascii="仿宋_GB2312" w:hAnsi="仿宋_GB2312" w:eastAsia="仿宋_GB2312" w:cs="仿宋_GB2312"/>
          <w:color w:val="auto"/>
          <w:kern w:val="2"/>
          <w:sz w:val="32"/>
          <w:szCs w:val="32"/>
          <w:highlight w:val="none"/>
          <w:shd w:val="clear"/>
          <w:lang w:val="en-US" w:eastAsia="zh-CN" w:bidi="ar-SA"/>
        </w:rPr>
        <w:t>。完成</w:t>
      </w:r>
      <w:r>
        <w:rPr>
          <w:rFonts w:hint="eastAsia" w:ascii="仿宋_GB2312" w:hAnsi="仿宋_GB2312" w:eastAsia="仿宋_GB2312" w:cs="仿宋_GB2312"/>
          <w:b/>
          <w:bCs/>
          <w:color w:val="auto"/>
          <w:sz w:val="32"/>
          <w:szCs w:val="32"/>
          <w:highlight w:val="none"/>
          <w:shd w:val="clear"/>
          <w:lang w:val="en-US" w:eastAsia="zh-CN"/>
        </w:rPr>
        <w:t>招商引资市外到位资金</w:t>
      </w:r>
      <w:r>
        <w:rPr>
          <w:rFonts w:hint="eastAsia" w:ascii="仿宋_GB2312" w:hAnsi="仿宋_GB2312" w:eastAsia="仿宋_GB2312" w:cs="仿宋_GB2312"/>
          <w:color w:val="auto"/>
          <w:kern w:val="2"/>
          <w:sz w:val="32"/>
          <w:szCs w:val="32"/>
          <w:highlight w:val="none"/>
          <w:shd w:val="clear"/>
          <w:lang w:val="en-US" w:eastAsia="zh-CN"/>
        </w:rPr>
        <w:t>232.11亿元，增长18.1%，高于目标7.1个百分点</w:t>
      </w:r>
      <w:r>
        <w:rPr>
          <w:rFonts w:hint="eastAsia" w:ascii="仿宋_GB2312" w:hAnsi="仿宋_GB2312" w:eastAsia="仿宋_GB2312" w:cs="仿宋_GB2312"/>
          <w:color w:val="auto"/>
          <w:kern w:val="2"/>
          <w:sz w:val="32"/>
          <w:szCs w:val="32"/>
          <w:highlight w:val="none"/>
          <w:shd w:val="clear"/>
          <w:lang w:val="en-US" w:eastAsia="zh-CN" w:bidi="ar-SA"/>
        </w:rPr>
        <w:t>。实现</w:t>
      </w:r>
      <w:r>
        <w:rPr>
          <w:rFonts w:hint="eastAsia" w:ascii="仿宋_GB2312" w:hAnsi="仿宋_GB2312" w:eastAsia="仿宋_GB2312" w:cs="仿宋_GB2312"/>
          <w:b/>
          <w:bCs/>
          <w:color w:val="auto"/>
          <w:kern w:val="2"/>
          <w:sz w:val="32"/>
          <w:szCs w:val="32"/>
          <w:highlight w:val="none"/>
          <w:shd w:val="clear"/>
          <w:lang w:val="en-US" w:eastAsia="zh-CN" w:bidi="ar-SA"/>
        </w:rPr>
        <w:t>城镇常住居民人均可支配收入</w:t>
      </w:r>
      <w:r>
        <w:rPr>
          <w:rFonts w:hint="eastAsia" w:ascii="仿宋_GB2312" w:hAnsi="仿宋_GB2312" w:eastAsia="仿宋_GB2312" w:cs="仿宋_GB2312"/>
          <w:color w:val="auto"/>
          <w:kern w:val="2"/>
          <w:sz w:val="32"/>
          <w:szCs w:val="32"/>
          <w:highlight w:val="none"/>
          <w:shd w:val="clear"/>
          <w:lang w:val="en-US" w:eastAsia="zh-CN" w:bidi="ar-SA"/>
        </w:rPr>
        <w:t>34842元，增长9.9%，高于目标0.9个百分点。实现</w:t>
      </w:r>
      <w:r>
        <w:rPr>
          <w:rFonts w:hint="eastAsia" w:ascii="仿宋_GB2312" w:hAnsi="仿宋_GB2312" w:eastAsia="仿宋_GB2312" w:cs="仿宋_GB2312"/>
          <w:b/>
          <w:bCs/>
          <w:color w:val="auto"/>
          <w:sz w:val="32"/>
          <w:szCs w:val="32"/>
          <w:highlight w:val="none"/>
          <w:shd w:val="clear"/>
          <w:lang w:val="en-US" w:eastAsia="zh-CN"/>
        </w:rPr>
        <w:t>农村常住居民人均可支配收入</w:t>
      </w:r>
      <w:r>
        <w:rPr>
          <w:rFonts w:hint="eastAsia" w:ascii="仿宋_GB2312" w:hAnsi="仿宋_GB2312" w:eastAsia="仿宋_GB2312" w:cs="仿宋_GB2312"/>
          <w:color w:val="auto"/>
          <w:kern w:val="2"/>
          <w:sz w:val="32"/>
          <w:szCs w:val="32"/>
          <w:highlight w:val="none"/>
          <w:shd w:val="clear"/>
          <w:lang w:val="en-US" w:eastAsia="zh-CN"/>
        </w:rPr>
        <w:t>14238元，增长10.6%，高于目标0.6个百分点</w:t>
      </w:r>
      <w:r>
        <w:rPr>
          <w:rFonts w:hint="eastAsia" w:ascii="仿宋_GB2312" w:hAnsi="仿宋_GB2312" w:eastAsia="仿宋_GB2312" w:cs="仿宋_GB2312"/>
          <w:color w:val="auto"/>
          <w:kern w:val="2"/>
          <w:sz w:val="32"/>
          <w:szCs w:val="32"/>
          <w:highlight w:val="none"/>
          <w:shd w:val="clear"/>
          <w:lang w:val="en-US" w:eastAsia="zh-CN" w:bidi="ar-SA"/>
        </w:rPr>
        <w:t>。</w:t>
      </w:r>
      <w:r>
        <w:rPr>
          <w:rFonts w:hint="eastAsia" w:ascii="仿宋_GB2312" w:hAnsi="仿宋_GB2312" w:eastAsia="仿宋_GB2312" w:cs="仿宋_GB2312"/>
          <w:b/>
          <w:bCs/>
          <w:color w:val="auto"/>
          <w:sz w:val="32"/>
          <w:szCs w:val="32"/>
          <w:highlight w:val="none"/>
          <w:shd w:val="clear"/>
          <w:lang w:val="en-US" w:eastAsia="zh-CN"/>
        </w:rPr>
        <w:t>城镇登记失业率控制</w:t>
      </w:r>
      <w:r>
        <w:rPr>
          <w:rFonts w:hint="eastAsia" w:ascii="仿宋_GB2312" w:hAnsi="仿宋_GB2312" w:eastAsia="仿宋_GB2312" w:cs="仿宋_GB2312"/>
          <w:color w:val="auto"/>
          <w:kern w:val="2"/>
          <w:sz w:val="32"/>
          <w:szCs w:val="32"/>
          <w:highlight w:val="none"/>
          <w:shd w:val="clear"/>
          <w:lang w:val="en-US" w:eastAsia="zh-CN"/>
        </w:rPr>
        <w:t>在4%以内；</w:t>
      </w:r>
      <w:r>
        <w:rPr>
          <w:rFonts w:hint="eastAsia" w:ascii="仿宋_GB2312" w:hAnsi="仿宋_GB2312" w:eastAsia="仿宋_GB2312" w:cs="仿宋_GB2312"/>
          <w:b/>
          <w:bCs/>
          <w:color w:val="auto"/>
          <w:sz w:val="32"/>
          <w:szCs w:val="32"/>
          <w:highlight w:val="none"/>
          <w:shd w:val="clear"/>
          <w:lang w:val="en-US" w:eastAsia="zh-CN"/>
        </w:rPr>
        <w:t>居民消费价格总水平累计涨幅</w:t>
      </w:r>
      <w:r>
        <w:rPr>
          <w:rFonts w:hint="eastAsia" w:ascii="仿宋_GB2312" w:hAnsi="仿宋_GB2312" w:eastAsia="仿宋_GB2312" w:cs="仿宋_GB2312"/>
          <w:color w:val="auto"/>
          <w:kern w:val="2"/>
          <w:sz w:val="32"/>
          <w:szCs w:val="32"/>
          <w:highlight w:val="none"/>
          <w:shd w:val="clear"/>
          <w:lang w:val="en-US" w:eastAsia="zh-CN"/>
        </w:rPr>
        <w:t>为0.6%，控制在3.5%以内；</w:t>
      </w:r>
      <w:r>
        <w:rPr>
          <w:rFonts w:hint="eastAsia" w:ascii="仿宋_GB2312" w:hAnsi="仿宋_GB2312" w:eastAsia="仿宋_GB2312" w:cs="仿宋_GB2312"/>
          <w:b/>
          <w:bCs/>
          <w:color w:val="auto"/>
          <w:sz w:val="32"/>
          <w:szCs w:val="32"/>
          <w:highlight w:val="none"/>
          <w:shd w:val="clear"/>
          <w:lang w:val="en-US" w:eastAsia="zh-CN"/>
        </w:rPr>
        <w:t>单位生产总值能耗</w:t>
      </w:r>
      <w:r>
        <w:rPr>
          <w:rFonts w:hint="eastAsia" w:ascii="仿宋_GB2312" w:hAnsi="仿宋_GB2312" w:eastAsia="仿宋_GB2312" w:cs="仿宋_GB2312"/>
          <w:b w:val="0"/>
          <w:bCs w:val="0"/>
          <w:color w:val="auto"/>
          <w:sz w:val="32"/>
          <w:szCs w:val="32"/>
          <w:highlight w:val="none"/>
          <w:shd w:val="clear"/>
          <w:lang w:val="en-US" w:eastAsia="zh-CN"/>
        </w:rPr>
        <w:t>预计下降1.6%，</w:t>
      </w:r>
      <w:r>
        <w:rPr>
          <w:rFonts w:hint="eastAsia" w:ascii="仿宋_GB2312" w:hAnsi="仿宋_GB2312" w:eastAsia="仿宋_GB2312" w:cs="仿宋_GB2312"/>
          <w:color w:val="auto"/>
          <w:kern w:val="2"/>
          <w:sz w:val="32"/>
          <w:szCs w:val="32"/>
          <w:highlight w:val="none"/>
          <w:shd w:val="clear"/>
          <w:lang w:val="en-US" w:eastAsia="zh-CN"/>
        </w:rPr>
        <w:t>完成市级下达目标。</w:t>
      </w:r>
    </w:p>
    <w:p>
      <w:pPr>
        <w:keepNext w:val="0"/>
        <w:keepLines w:val="0"/>
        <w:pageBreakBefore w:val="0"/>
        <w:widowControl w:val="0"/>
        <w:numPr>
          <w:ilvl w:val="0"/>
          <w:numId w:val="0"/>
        </w:numPr>
        <w:pBdr>
          <w:bottom w:val="none" w:color="auto" w:sz="0" w:space="0"/>
        </w:pBdr>
        <w:shd w:val="clear"/>
        <w:kinsoku/>
        <w:wordWrap/>
        <w:overflowPunct/>
        <w:topLinePunct w:val="0"/>
        <w:autoSpaceDN/>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shd w:val="clear"/>
          <w:lang w:val="en-US" w:eastAsia="zh-CN"/>
        </w:rPr>
      </w:pPr>
      <w:r>
        <w:rPr>
          <w:rFonts w:hint="eastAsia" w:ascii="仿宋_GB2312" w:hAnsi="仿宋_GB2312" w:eastAsia="仿宋_GB2312" w:cs="仿宋_GB2312"/>
          <w:color w:val="auto"/>
          <w:sz w:val="32"/>
          <w:szCs w:val="32"/>
          <w:highlight w:val="none"/>
          <w:shd w:val="clear"/>
          <w:lang w:val="en-US" w:eastAsia="zh-CN"/>
        </w:rPr>
        <w:t>13项主要经济指标中，一般公共财政预算收入、外贸进出口总额、招商引资市外到位资金、城镇常住居民人均可支配收入、农村常住居民人均可支配收入、社会消费品零售总额、城镇登记失业率、居民消费价格总水平累计涨幅、单位生产总值能耗下降9个指标完成或超额完成目标，地区生产总值、规模以上固定资产投资、规上工业可比价增加值、一般公共财政预算支出4个指标未实现年初人民代表大会目标。</w:t>
      </w:r>
      <w:r>
        <w:rPr>
          <w:rFonts w:hint="eastAsia" w:ascii="仿宋_GB2312" w:hAnsi="仿宋_GB2312" w:eastAsia="仿宋_GB2312" w:cs="仿宋_GB2312"/>
          <w:b/>
          <w:bCs/>
          <w:color w:val="auto"/>
          <w:kern w:val="0"/>
          <w:sz w:val="32"/>
          <w:szCs w:val="32"/>
          <w:highlight w:val="none"/>
          <w:shd w:val="clear"/>
          <w:lang w:val="en-US" w:eastAsia="zh-CN" w:bidi="ar-SA"/>
        </w:rPr>
        <w:t>地区生产总值</w:t>
      </w:r>
      <w:r>
        <w:rPr>
          <w:rFonts w:hint="eastAsia" w:ascii="仿宋_GB2312" w:hAnsi="仿宋_GB2312" w:eastAsia="仿宋_GB2312" w:cs="仿宋_GB2312"/>
          <w:b w:val="0"/>
          <w:bCs w:val="0"/>
          <w:color w:val="auto"/>
          <w:kern w:val="0"/>
          <w:sz w:val="32"/>
          <w:szCs w:val="32"/>
          <w:highlight w:val="none"/>
          <w:shd w:val="clear"/>
          <w:lang w:val="en-US" w:eastAsia="zh-CN" w:bidi="ar-SA"/>
        </w:rPr>
        <w:t>的</w:t>
      </w:r>
      <w:r>
        <w:rPr>
          <w:rFonts w:hint="eastAsia" w:ascii="仿宋_GB2312" w:hAnsi="仿宋_GB2312" w:eastAsia="仿宋_GB2312" w:cs="仿宋_GB2312"/>
          <w:color w:val="auto"/>
          <w:kern w:val="2"/>
          <w:sz w:val="32"/>
          <w:szCs w:val="32"/>
          <w:highlight w:val="none"/>
          <w:shd w:val="clear"/>
          <w:lang w:val="en-US" w:eastAsia="zh-CN" w:bidi="ar-SA"/>
        </w:rPr>
        <w:t>原因：是支撑GDP重点指标且占比较大的工业增加值、批发业、建安投资、金融存贷款余额等指标未实现预期目标，拉低生产总值的增速。下步工作措施：做稳一产；做强二产；做优三产，全力抓好市场主体培育。</w:t>
      </w:r>
      <w:r>
        <w:rPr>
          <w:rFonts w:hint="eastAsia" w:ascii="仿宋_GB2312" w:hAnsi="仿宋_GB2312" w:eastAsia="仿宋_GB2312" w:cs="仿宋_GB2312"/>
          <w:b/>
          <w:bCs/>
          <w:color w:val="auto"/>
          <w:kern w:val="0"/>
          <w:sz w:val="32"/>
          <w:szCs w:val="32"/>
          <w:highlight w:val="none"/>
          <w:shd w:val="clear"/>
          <w:lang w:val="en-US" w:eastAsia="zh-CN" w:bidi="ar-SA"/>
        </w:rPr>
        <w:t>固定资产投资</w:t>
      </w:r>
      <w:r>
        <w:rPr>
          <w:rFonts w:hint="eastAsia" w:ascii="仿宋_GB2312" w:hAnsi="仿宋_GB2312" w:eastAsia="仿宋_GB2312" w:cs="仿宋_GB2312"/>
          <w:b w:val="0"/>
          <w:bCs w:val="0"/>
          <w:color w:val="auto"/>
          <w:kern w:val="0"/>
          <w:sz w:val="32"/>
          <w:szCs w:val="32"/>
          <w:highlight w:val="none"/>
          <w:shd w:val="clear"/>
          <w:lang w:val="en-US" w:eastAsia="zh-CN" w:bidi="ar-SA"/>
        </w:rPr>
        <w:t>的</w:t>
      </w:r>
      <w:r>
        <w:rPr>
          <w:rFonts w:hint="eastAsia" w:ascii="仿宋_GB2312" w:hAnsi="仿宋_GB2312" w:eastAsia="仿宋_GB2312" w:cs="仿宋_GB2312"/>
          <w:color w:val="auto"/>
          <w:kern w:val="2"/>
          <w:sz w:val="32"/>
          <w:szCs w:val="32"/>
          <w:highlight w:val="none"/>
          <w:shd w:val="clear"/>
          <w:lang w:val="en-US" w:eastAsia="zh-CN" w:bidi="ar-SA"/>
        </w:rPr>
        <w:t>原因：</w:t>
      </w:r>
      <w:r>
        <w:rPr>
          <w:rFonts w:hint="eastAsia" w:ascii="仿宋_GB2312" w:hAnsi="仿宋_GB2312" w:eastAsia="仿宋_GB2312" w:cs="仿宋_GB2312"/>
          <w:b/>
          <w:bCs/>
          <w:color w:val="auto"/>
          <w:kern w:val="2"/>
          <w:sz w:val="32"/>
          <w:szCs w:val="32"/>
          <w:highlight w:val="none"/>
          <w:shd w:val="clear"/>
          <w:lang w:val="en-US" w:eastAsia="zh-CN" w:bidi="ar-SA"/>
        </w:rPr>
        <w:t>一是</w:t>
      </w:r>
      <w:r>
        <w:rPr>
          <w:rFonts w:hint="eastAsia" w:ascii="仿宋_GB2312" w:hAnsi="仿宋_GB2312" w:eastAsia="仿宋_GB2312" w:cs="仿宋_GB2312"/>
          <w:color w:val="auto"/>
          <w:kern w:val="2"/>
          <w:sz w:val="32"/>
          <w:szCs w:val="32"/>
          <w:highlight w:val="none"/>
          <w:shd w:val="clear"/>
          <w:lang w:val="en-US" w:eastAsia="zh-CN" w:bidi="ar-SA"/>
        </w:rPr>
        <w:t>投资存量总体不足，在库投资额无法支撑计划任务。</w:t>
      </w:r>
      <w:r>
        <w:rPr>
          <w:rFonts w:hint="eastAsia" w:ascii="仿宋_GB2312" w:hAnsi="仿宋_GB2312" w:eastAsia="仿宋_GB2312" w:cs="仿宋_GB2312"/>
          <w:b/>
          <w:bCs/>
          <w:color w:val="auto"/>
          <w:kern w:val="2"/>
          <w:sz w:val="32"/>
          <w:szCs w:val="32"/>
          <w:highlight w:val="none"/>
          <w:shd w:val="clear"/>
          <w:lang w:val="en-US" w:eastAsia="zh-CN" w:bidi="ar-SA"/>
        </w:rPr>
        <w:t>二是</w:t>
      </w:r>
      <w:r>
        <w:rPr>
          <w:rFonts w:hint="eastAsia" w:ascii="仿宋_GB2312" w:hAnsi="仿宋_GB2312" w:eastAsia="仿宋_GB2312" w:cs="仿宋_GB2312"/>
          <w:color w:val="auto"/>
          <w:kern w:val="2"/>
          <w:sz w:val="32"/>
          <w:szCs w:val="32"/>
          <w:highlight w:val="none"/>
          <w:shd w:val="clear"/>
          <w:lang w:val="en-US" w:eastAsia="zh-CN" w:bidi="ar-SA"/>
        </w:rPr>
        <w:t>投资结构不合理，高速公路铁路投资锐减33亿元，拉低投资增长近26个百分点。</w:t>
      </w:r>
      <w:r>
        <w:rPr>
          <w:rFonts w:hint="eastAsia" w:ascii="仿宋_GB2312" w:hAnsi="仿宋_GB2312" w:eastAsia="仿宋_GB2312" w:cs="仿宋_GB2312"/>
          <w:b/>
          <w:bCs/>
          <w:color w:val="auto"/>
          <w:kern w:val="2"/>
          <w:sz w:val="32"/>
          <w:szCs w:val="32"/>
          <w:highlight w:val="none"/>
          <w:shd w:val="clear"/>
          <w:lang w:val="en-US" w:eastAsia="zh-CN" w:bidi="ar-SA"/>
        </w:rPr>
        <w:t>三是</w:t>
      </w:r>
      <w:r>
        <w:rPr>
          <w:rFonts w:hint="eastAsia" w:ascii="仿宋_GB2312" w:hAnsi="仿宋_GB2312" w:eastAsia="仿宋_GB2312" w:cs="仿宋_GB2312"/>
          <w:b w:val="0"/>
          <w:bCs w:val="0"/>
          <w:color w:val="auto"/>
          <w:kern w:val="2"/>
          <w:sz w:val="32"/>
          <w:szCs w:val="32"/>
          <w:highlight w:val="none"/>
          <w:shd w:val="clear"/>
          <w:lang w:val="en-US" w:eastAsia="zh-CN" w:bidi="ar-SA"/>
        </w:rPr>
        <w:t>由于历年土地指标欠账原因，导致</w:t>
      </w:r>
      <w:r>
        <w:rPr>
          <w:rFonts w:hint="eastAsia" w:ascii="仿宋_GB2312" w:hAnsi="仿宋_GB2312" w:eastAsia="仿宋_GB2312" w:cs="仿宋_GB2312"/>
          <w:color w:val="auto"/>
          <w:kern w:val="2"/>
          <w:sz w:val="32"/>
          <w:szCs w:val="32"/>
          <w:highlight w:val="none"/>
          <w:shd w:val="clear"/>
          <w:lang w:val="en-US" w:eastAsia="zh-CN" w:bidi="ar-SA"/>
        </w:rPr>
        <w:t>临沧职教园区、火车站物流园区、市中医院等重点项目未能按计划开工建设形成投资量。下步工作：一是落实领导挂钩联系重点项目机制，全力推进重点项目建设。二是做好项目储备优选，推进项目前期工作。三是积极争取项目资金支持，为项目建设提供保障。</w:t>
      </w:r>
      <w:r>
        <w:rPr>
          <w:rFonts w:hint="eastAsia" w:ascii="仿宋_GB2312" w:hAnsi="仿宋_GB2312" w:eastAsia="仿宋_GB2312" w:cs="仿宋_GB2312"/>
          <w:b/>
          <w:bCs/>
          <w:color w:val="auto"/>
          <w:kern w:val="0"/>
          <w:sz w:val="32"/>
          <w:szCs w:val="32"/>
          <w:highlight w:val="none"/>
          <w:shd w:val="clear"/>
          <w:lang w:val="en-US" w:eastAsia="zh-CN" w:bidi="ar-SA"/>
        </w:rPr>
        <w:t>规模以上工业增加值</w:t>
      </w:r>
      <w:r>
        <w:rPr>
          <w:rFonts w:hint="eastAsia" w:ascii="仿宋_GB2312" w:hAnsi="仿宋_GB2312" w:eastAsia="仿宋_GB2312" w:cs="仿宋_GB2312"/>
          <w:b w:val="0"/>
          <w:bCs w:val="0"/>
          <w:color w:val="auto"/>
          <w:kern w:val="0"/>
          <w:sz w:val="32"/>
          <w:szCs w:val="32"/>
          <w:highlight w:val="none"/>
          <w:shd w:val="clear"/>
          <w:lang w:val="en-US" w:eastAsia="zh-CN" w:bidi="ar-SA"/>
        </w:rPr>
        <w:t>的</w:t>
      </w:r>
      <w:r>
        <w:rPr>
          <w:rFonts w:hint="eastAsia" w:ascii="仿宋_GB2312" w:hAnsi="仿宋_GB2312" w:eastAsia="仿宋_GB2312" w:cs="仿宋_GB2312"/>
          <w:color w:val="auto"/>
          <w:kern w:val="2"/>
          <w:sz w:val="32"/>
          <w:szCs w:val="32"/>
          <w:highlight w:val="none"/>
          <w:shd w:val="clear"/>
          <w:lang w:val="en-US" w:eastAsia="zh-CN" w:bidi="ar-SA"/>
        </w:rPr>
        <w:t>原因：</w:t>
      </w:r>
      <w:r>
        <w:rPr>
          <w:rFonts w:hint="eastAsia" w:ascii="仿宋_GB2312" w:hAnsi="仿宋_GB2312" w:eastAsia="仿宋_GB2312" w:cs="仿宋_GB2312"/>
          <w:b/>
          <w:bCs/>
          <w:color w:val="auto"/>
          <w:sz w:val="32"/>
          <w:szCs w:val="32"/>
          <w:highlight w:val="none"/>
          <w:shd w:val="clear"/>
          <w:lang w:val="en-US" w:eastAsia="zh-CN"/>
        </w:rPr>
        <w:t>一是</w:t>
      </w:r>
      <w:r>
        <w:rPr>
          <w:rFonts w:hint="eastAsia" w:ascii="仿宋_GB2312" w:hAnsi="仿宋_GB2312" w:eastAsia="仿宋_GB2312" w:cs="仿宋_GB2312"/>
          <w:color w:val="auto"/>
          <w:sz w:val="32"/>
          <w:szCs w:val="32"/>
          <w:highlight w:val="none"/>
          <w:shd w:val="clear"/>
          <w:lang w:val="en-US" w:eastAsia="zh-CN"/>
        </w:rPr>
        <w:t>规上工业增加值占比达53%左右的2户电力企业自2月份以来，产值逐月下降。</w:t>
      </w:r>
      <w:r>
        <w:rPr>
          <w:rFonts w:hint="eastAsia" w:ascii="仿宋_GB2312" w:hAnsi="仿宋_GB2312" w:eastAsia="仿宋_GB2312" w:cs="仿宋_GB2312"/>
          <w:b/>
          <w:bCs/>
          <w:color w:val="auto"/>
          <w:sz w:val="32"/>
          <w:szCs w:val="32"/>
          <w:highlight w:val="none"/>
          <w:shd w:val="clear"/>
          <w:lang w:val="en-US" w:eastAsia="zh-CN"/>
        </w:rPr>
        <w:t>二是</w:t>
      </w:r>
      <w:r>
        <w:rPr>
          <w:rFonts w:hint="eastAsia" w:ascii="仿宋_GB2312" w:hAnsi="仿宋_GB2312" w:eastAsia="仿宋_GB2312" w:cs="仿宋_GB2312"/>
          <w:color w:val="auto"/>
          <w:sz w:val="32"/>
          <w:szCs w:val="32"/>
          <w:highlight w:val="none"/>
          <w:shd w:val="clear"/>
          <w:lang w:val="en-US" w:eastAsia="zh-CN"/>
        </w:rPr>
        <w:t>由于企业调整产业结构或生产经营困难，丰源饲料、松香厂2户企业处于停产状态，明达水泥制品注销，</w:t>
      </w:r>
      <w:r>
        <w:rPr>
          <w:rFonts w:hint="eastAsia" w:ascii="仿宋_GB2312" w:hAnsi="仿宋_GB2312" w:eastAsia="仿宋_GB2312" w:cs="仿宋_GB2312"/>
          <w:b w:val="0"/>
          <w:i w:val="0"/>
          <w:caps w:val="0"/>
          <w:color w:val="auto"/>
          <w:spacing w:val="0"/>
          <w:w w:val="100"/>
          <w:sz w:val="32"/>
          <w:szCs w:val="32"/>
          <w:highlight w:val="none"/>
        </w:rPr>
        <w:t>临沧韭菜坝锗业有限责任公司、云南中浙东成生物科技有限公司处于停产半停厂状态。</w:t>
      </w:r>
      <w:r>
        <w:rPr>
          <w:rFonts w:hint="eastAsia" w:ascii="仿宋_GB2312" w:hAnsi="仿宋_GB2312" w:eastAsia="仿宋_GB2312" w:cs="仿宋_GB2312"/>
          <w:b/>
          <w:bCs/>
          <w:color w:val="auto"/>
          <w:sz w:val="32"/>
          <w:szCs w:val="32"/>
          <w:highlight w:val="none"/>
          <w:shd w:val="clear"/>
          <w:lang w:val="en-US" w:eastAsia="zh-CN"/>
        </w:rPr>
        <w:t>三是</w:t>
      </w:r>
      <w:r>
        <w:rPr>
          <w:rFonts w:hint="eastAsia" w:ascii="仿宋_GB2312" w:hAnsi="仿宋_GB2312" w:eastAsia="仿宋_GB2312" w:cs="仿宋_GB2312"/>
          <w:color w:val="auto"/>
          <w:sz w:val="32"/>
          <w:szCs w:val="32"/>
          <w:highlight w:val="none"/>
          <w:shd w:val="clear"/>
          <w:lang w:val="en-US" w:eastAsia="zh-CN"/>
        </w:rPr>
        <w:t>落实“两高”问题整改要求，涉及停产企业7户产值受到影响。</w:t>
      </w:r>
      <w:r>
        <w:rPr>
          <w:rFonts w:hint="eastAsia" w:ascii="仿宋_GB2312" w:hAnsi="仿宋_GB2312" w:eastAsia="仿宋_GB2312" w:cs="仿宋_GB2312"/>
          <w:b w:val="0"/>
          <w:bCs w:val="0"/>
          <w:color w:val="auto"/>
          <w:kern w:val="2"/>
          <w:sz w:val="32"/>
          <w:szCs w:val="32"/>
          <w:highlight w:val="none"/>
          <w:shd w:val="clear"/>
          <w:lang w:val="en-US" w:eastAsia="zh-CN" w:bidi="ar-SA"/>
        </w:rPr>
        <w:t>下步工作措施：一是加大企业跟踪服务力度，帮助企业解决生产经营中的困难问题；二是培育规上企业，做强工业经济基础；三是优化结构，大力培育新兴产业和高科技创新型企业。</w:t>
      </w:r>
      <w:r>
        <w:rPr>
          <w:rFonts w:hint="eastAsia" w:ascii="仿宋_GB2312" w:hAnsi="仿宋_GB2312" w:eastAsia="仿宋_GB2312" w:cs="仿宋_GB2312"/>
          <w:b/>
          <w:bCs/>
          <w:color w:val="auto"/>
          <w:kern w:val="0"/>
          <w:sz w:val="32"/>
          <w:szCs w:val="32"/>
          <w:highlight w:val="none"/>
          <w:shd w:val="clear"/>
          <w:lang w:val="en-US" w:eastAsia="zh-CN" w:bidi="ar-SA"/>
        </w:rPr>
        <w:t>地方一般公共预算支出</w:t>
      </w:r>
      <w:r>
        <w:rPr>
          <w:rFonts w:hint="eastAsia" w:ascii="仿宋_GB2312" w:hAnsi="仿宋_GB2312" w:eastAsia="仿宋_GB2312" w:cs="仿宋_GB2312"/>
          <w:b w:val="0"/>
          <w:bCs w:val="0"/>
          <w:color w:val="auto"/>
          <w:kern w:val="0"/>
          <w:sz w:val="32"/>
          <w:szCs w:val="32"/>
          <w:highlight w:val="none"/>
          <w:shd w:val="clear"/>
          <w:lang w:val="en-US" w:eastAsia="zh-CN" w:bidi="ar-SA"/>
        </w:rPr>
        <w:t>的</w:t>
      </w:r>
      <w:r>
        <w:rPr>
          <w:rFonts w:hint="eastAsia" w:ascii="仿宋_GB2312" w:hAnsi="仿宋_GB2312" w:eastAsia="仿宋_GB2312" w:cs="仿宋_GB2312"/>
          <w:color w:val="auto"/>
          <w:kern w:val="2"/>
          <w:sz w:val="32"/>
          <w:szCs w:val="32"/>
          <w:highlight w:val="none"/>
          <w:shd w:val="clear"/>
          <w:lang w:val="en-US" w:eastAsia="zh-CN" w:bidi="ar-SA"/>
        </w:rPr>
        <w:t>原因：</w:t>
      </w:r>
      <w:r>
        <w:rPr>
          <w:rFonts w:hint="eastAsia" w:ascii="仿宋_GB2312" w:hAnsi="仿宋_GB2312" w:eastAsia="仿宋_GB2312" w:cs="仿宋_GB2312"/>
          <w:b w:val="0"/>
          <w:bCs w:val="0"/>
          <w:color w:val="auto"/>
          <w:kern w:val="2"/>
          <w:sz w:val="32"/>
          <w:szCs w:val="32"/>
          <w:highlight w:val="none"/>
          <w:shd w:val="clear"/>
          <w:lang w:val="en-US" w:eastAsia="zh-CN" w:bidi="ar-SA"/>
        </w:rPr>
        <w:t>根据2020年政府总会计制度（试行版）要求，统计口径发生变化，将原来的权责发生制改为收付实现制。</w:t>
      </w:r>
      <w:r>
        <w:rPr>
          <w:rFonts w:hint="eastAsia" w:ascii="仿宋_GB2312" w:hAnsi="仿宋_GB2312" w:eastAsia="仿宋_GB2312" w:cs="仿宋_GB2312"/>
          <w:b/>
          <w:bCs/>
          <w:color w:val="auto"/>
          <w:kern w:val="2"/>
          <w:sz w:val="32"/>
          <w:szCs w:val="32"/>
          <w:highlight w:val="none"/>
          <w:shd w:val="clear"/>
          <w:lang w:val="en-US" w:eastAsia="zh-CN" w:bidi="ar-SA"/>
        </w:rPr>
        <w:t>下步措施</w:t>
      </w:r>
      <w:r>
        <w:rPr>
          <w:rFonts w:hint="eastAsia" w:ascii="仿宋_GB2312" w:hAnsi="仿宋_GB2312" w:eastAsia="仿宋_GB2312" w:cs="仿宋_GB2312"/>
          <w:b w:val="0"/>
          <w:bCs w:val="0"/>
          <w:color w:val="auto"/>
          <w:kern w:val="2"/>
          <w:sz w:val="32"/>
          <w:szCs w:val="32"/>
          <w:highlight w:val="none"/>
          <w:shd w:val="clear"/>
          <w:lang w:val="en-US" w:eastAsia="zh-CN" w:bidi="ar-SA"/>
        </w:rPr>
        <w:t>：一是加强财源建设，加大招商引资力度培植新税源。二是加大对闲置国有资产和土地盘活力度，以存量引增量。三是积极向上争取政策和资金支持。</w:t>
      </w:r>
    </w:p>
    <w:p>
      <w:pPr>
        <w:keepNext w:val="0"/>
        <w:keepLines w:val="0"/>
        <w:pageBreakBefore w:val="0"/>
        <w:widowControl w:val="0"/>
        <w:numPr>
          <w:ilvl w:val="0"/>
          <w:numId w:val="0"/>
        </w:numPr>
        <w:pBdr>
          <w:bottom w:val="none" w:color="auto" w:sz="0" w:space="0"/>
        </w:pBdr>
        <w:shd w:val="clear"/>
        <w:kinsoku/>
        <w:wordWrap/>
        <w:overflowPunct/>
        <w:topLinePunct w:val="0"/>
        <w:autoSpaceDN/>
        <w:bidi w:val="0"/>
        <w:snapToGrid/>
        <w:spacing w:line="560" w:lineRule="exact"/>
        <w:ind w:right="0" w:rightChars="0" w:firstLine="643" w:firstLineChars="200"/>
        <w:jc w:val="both"/>
        <w:textAlignment w:val="auto"/>
        <w:outlineLvl w:val="9"/>
        <w:rPr>
          <w:rFonts w:hint="eastAsia" w:ascii="仿宋_GB2312" w:hAnsi="仿宋_GB2312" w:eastAsia="仿宋_GB2312" w:cs="仿宋_GB2312"/>
          <w:color w:val="auto"/>
          <w:sz w:val="32"/>
          <w:szCs w:val="32"/>
          <w:highlight w:val="none"/>
          <w:shd w:val="clear"/>
          <w:lang w:val="en-US" w:eastAsia="zh-CN"/>
        </w:rPr>
      </w:pPr>
      <w:r>
        <w:rPr>
          <w:rFonts w:hint="eastAsia" w:ascii="楷体_GB2312" w:hAnsi="楷体_GB2312" w:eastAsia="楷体_GB2312" w:cs="楷体_GB2312"/>
          <w:b/>
          <w:bCs/>
          <w:color w:val="auto"/>
          <w:kern w:val="0"/>
          <w:sz w:val="32"/>
          <w:szCs w:val="32"/>
          <w:highlight w:val="none"/>
          <w:shd w:val="clear"/>
          <w:lang w:val="en-US" w:eastAsia="zh-CN" w:bidi="ar"/>
        </w:rPr>
        <w:t>（二）发展基础设施不断夯实。</w:t>
      </w:r>
      <w:r>
        <w:rPr>
          <w:rFonts w:hint="eastAsia" w:ascii="仿宋_GB2312" w:hAnsi="仿宋_GB2312" w:eastAsia="仿宋_GB2312" w:cs="仿宋_GB2312"/>
          <w:b/>
          <w:bCs/>
          <w:color w:val="auto"/>
          <w:kern w:val="2"/>
          <w:sz w:val="32"/>
          <w:szCs w:val="32"/>
          <w:highlight w:val="none"/>
          <w:shd w:val="clear"/>
          <w:lang w:val="en-US" w:eastAsia="zh-CN" w:bidi="ar-SA"/>
        </w:rPr>
        <w:t>一是</w:t>
      </w:r>
      <w:r>
        <w:rPr>
          <w:rFonts w:hint="eastAsia" w:ascii="仿宋_GB2312" w:hAnsi="仿宋_GB2312" w:eastAsia="仿宋_GB2312" w:cs="仿宋_GB2312"/>
          <w:b w:val="0"/>
          <w:bCs w:val="0"/>
          <w:color w:val="auto"/>
          <w:kern w:val="2"/>
          <w:sz w:val="32"/>
          <w:szCs w:val="32"/>
          <w:highlight w:val="none"/>
          <w:shd w:val="clear"/>
          <w:lang w:val="en-US" w:eastAsia="zh-CN" w:bidi="ar-SA"/>
        </w:rPr>
        <w:t>紧扣国家投资导向和省委、省政府临沧现场办公会及省第十一次党代会精神，谋划储备重点项目332项，总投资1152亿元。</w:t>
      </w:r>
      <w:r>
        <w:rPr>
          <w:rFonts w:hint="eastAsia" w:ascii="仿宋_GB2312" w:hAnsi="仿宋_GB2312" w:eastAsia="仿宋_GB2312" w:cs="仿宋_GB2312"/>
          <w:b/>
          <w:bCs/>
          <w:color w:val="auto"/>
          <w:kern w:val="2"/>
          <w:sz w:val="32"/>
          <w:szCs w:val="32"/>
          <w:highlight w:val="none"/>
          <w:shd w:val="clear"/>
          <w:lang w:val="en-US" w:eastAsia="zh-CN" w:bidi="ar-SA"/>
        </w:rPr>
        <w:t>二是</w:t>
      </w:r>
      <w:r>
        <w:rPr>
          <w:rFonts w:hint="eastAsia" w:ascii="仿宋_GB2312" w:hAnsi="仿宋_GB2312" w:eastAsia="仿宋_GB2312" w:cs="仿宋_GB2312"/>
          <w:color w:val="auto"/>
          <w:sz w:val="32"/>
          <w:szCs w:val="32"/>
          <w:lang w:val="en-US" w:eastAsia="zh-CN"/>
        </w:rPr>
        <w:t>采取处级领导挂钩、责任部门负责的方式督促落实项目前期。36个重点项目前期工作基本完成。</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color w:val="auto"/>
          <w:sz w:val="32"/>
          <w:szCs w:val="32"/>
          <w:lang w:val="en-US" w:eastAsia="zh-CN"/>
        </w:rPr>
        <w:t>主动向省市汇报对接，争取项目资金支持，累计争取中央预算内资金项目10项，资金1.1亿元；争取地方政府专项债券项目3项，资金4.5亿元；争取省级预算资金项目1项，资金0.05亿元</w:t>
      </w:r>
      <w:r>
        <w:rPr>
          <w:rFonts w:hint="eastAsia" w:ascii="仿宋_GB2312" w:hAnsi="仿宋_GB2312" w:eastAsia="仿宋_GB2312" w:cs="仿宋_GB2312"/>
          <w:b w:val="0"/>
          <w:bCs w:val="0"/>
          <w:color w:val="auto"/>
          <w:kern w:val="2"/>
          <w:sz w:val="32"/>
          <w:szCs w:val="32"/>
          <w:highlight w:val="none"/>
          <w:shd w:val="clear"/>
          <w:lang w:val="en-US" w:eastAsia="zh-CN" w:bidi="ar-SA"/>
        </w:rPr>
        <w:t>。</w:t>
      </w:r>
      <w:r>
        <w:rPr>
          <w:rFonts w:hint="eastAsia" w:ascii="仿宋_GB2312" w:hAnsi="仿宋_GB2312" w:eastAsia="仿宋_GB2312" w:cs="仿宋_GB2312"/>
          <w:color w:val="auto"/>
          <w:sz w:val="32"/>
          <w:szCs w:val="32"/>
          <w:highlight w:val="none"/>
          <w:shd w:val="clear"/>
          <w:lang w:val="en-US" w:eastAsia="zh-CN"/>
        </w:rPr>
        <w:t>全年累计争取项目资金27.2亿元。</w:t>
      </w:r>
      <w:r>
        <w:rPr>
          <w:rFonts w:hint="eastAsia" w:ascii="仿宋_GB2312" w:hAnsi="仿宋_GB2312" w:eastAsia="仿宋_GB2312" w:cs="仿宋_GB2312"/>
          <w:b/>
          <w:bCs/>
          <w:color w:val="auto"/>
          <w:sz w:val="32"/>
          <w:szCs w:val="32"/>
          <w:highlight w:val="none"/>
          <w:shd w:val="clear"/>
          <w:lang w:val="en-US" w:eastAsia="zh-CN"/>
        </w:rPr>
        <w:t>四</w:t>
      </w:r>
      <w:r>
        <w:rPr>
          <w:rFonts w:hint="eastAsia" w:ascii="仿宋_GB2312" w:hAnsi="仿宋_GB2312" w:eastAsia="仿宋_GB2312" w:cs="仿宋_GB2312"/>
          <w:b/>
          <w:bCs/>
          <w:color w:val="auto"/>
          <w:sz w:val="32"/>
          <w:szCs w:val="32"/>
          <w:highlight w:val="none"/>
          <w:shd w:val="clear"/>
        </w:rPr>
        <w:t>是</w:t>
      </w:r>
      <w:r>
        <w:rPr>
          <w:rFonts w:hint="eastAsia" w:ascii="仿宋_GB2312" w:hAnsi="仿宋_GB2312" w:eastAsia="仿宋_GB2312" w:cs="仿宋_GB2312"/>
          <w:b w:val="0"/>
          <w:bCs w:val="0"/>
          <w:color w:val="auto"/>
          <w:sz w:val="32"/>
          <w:szCs w:val="32"/>
          <w:highlight w:val="none"/>
          <w:shd w:val="clear"/>
          <w:lang w:val="en-US" w:eastAsia="zh-CN"/>
        </w:rPr>
        <w:t>重点项目建设加快。云临高速主城区至蚂蚁堆段通车运营；</w:t>
      </w:r>
      <w:r>
        <w:rPr>
          <w:rFonts w:hint="eastAsia" w:ascii="仿宋_GB2312" w:hAnsi="仿宋_GB2312" w:eastAsia="仿宋_GB2312" w:cs="仿宋_GB2312"/>
          <w:color w:val="auto"/>
          <w:sz w:val="32"/>
          <w:szCs w:val="32"/>
          <w:highlight w:val="none"/>
        </w:rPr>
        <w:t>妇幼保健院搬迁重建</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color w:val="auto"/>
          <w:sz w:val="32"/>
          <w:szCs w:val="32"/>
          <w:highlight w:val="none"/>
        </w:rPr>
        <w:t>碧桂园</w:t>
      </w:r>
      <w:r>
        <w:rPr>
          <w:rFonts w:hint="eastAsia" w:ascii="仿宋_GB2312" w:hAnsi="仿宋_GB2312" w:eastAsia="仿宋_GB2312" w:cs="仿宋_GB2312"/>
          <w:b w:val="0"/>
          <w:bCs w:val="0"/>
          <w:color w:val="auto"/>
          <w:sz w:val="32"/>
          <w:szCs w:val="32"/>
          <w:highlight w:val="none"/>
          <w:lang w:val="en-US" w:eastAsia="zh-CN"/>
        </w:rPr>
        <w:t>等26个项目竣工投入使用；</w:t>
      </w:r>
      <w:r>
        <w:rPr>
          <w:rFonts w:hint="eastAsia" w:ascii="仿宋_GB2312" w:hAnsi="仿宋_GB2312" w:eastAsia="仿宋_GB2312" w:cs="仿宋_GB2312"/>
          <w:b w:val="0"/>
          <w:bCs w:val="0"/>
          <w:color w:val="auto"/>
          <w:sz w:val="32"/>
          <w:szCs w:val="32"/>
          <w:highlight w:val="none"/>
          <w:shd w:val="clear"/>
          <w:lang w:val="en-US" w:eastAsia="zh-CN"/>
        </w:rPr>
        <w:t>临清高速、</w:t>
      </w:r>
      <w:r>
        <w:rPr>
          <w:rFonts w:hint="eastAsia" w:ascii="仿宋_GB2312" w:hAnsi="仿宋_GB2312" w:eastAsia="仿宋_GB2312" w:cs="仿宋_GB2312"/>
          <w:color w:val="auto"/>
          <w:sz w:val="32"/>
          <w:szCs w:val="32"/>
          <w:highlight w:val="none"/>
          <w:shd w:val="clear"/>
          <w:lang w:val="en-US" w:eastAsia="zh-CN"/>
        </w:rPr>
        <w:t>大桥坡水库、章嘎和头塘街片区棚户区改造、农村产业融合发展示范园、亚微会展中心（一期）等45个项目稳步推进；南城小学标准化、</w:t>
      </w:r>
      <w:r>
        <w:rPr>
          <w:rFonts w:hint="eastAsia" w:ascii="仿宋_GB2312" w:hAnsi="仿宋_GB2312" w:eastAsia="仿宋_GB2312" w:cs="仿宋_GB2312"/>
          <w:color w:val="auto"/>
          <w:sz w:val="32"/>
          <w:szCs w:val="32"/>
          <w:highlight w:val="none"/>
        </w:rPr>
        <w:t>公共停车场工程</w:t>
      </w:r>
      <w:r>
        <w:rPr>
          <w:rFonts w:hint="eastAsia" w:ascii="仿宋_GB2312" w:hAnsi="仿宋_GB2312" w:eastAsia="仿宋_GB2312" w:cs="仿宋_GB2312"/>
          <w:color w:val="auto"/>
          <w:sz w:val="32"/>
          <w:szCs w:val="32"/>
          <w:highlight w:val="none"/>
          <w:shd w:val="clear"/>
          <w:lang w:val="en-US" w:eastAsia="zh-CN"/>
        </w:rPr>
        <w:t>、</w:t>
      </w:r>
      <w:r>
        <w:rPr>
          <w:rFonts w:hint="eastAsia" w:ascii="仿宋_GB2312" w:hAnsi="仿宋_GB2312" w:eastAsia="仿宋_GB2312" w:cs="仿宋_GB2312"/>
          <w:color w:val="auto"/>
          <w:sz w:val="32"/>
          <w:szCs w:val="32"/>
          <w:highlight w:val="none"/>
        </w:rPr>
        <w:t>数字物流中心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shd w:val="clear"/>
          <w:lang w:val="en-US" w:eastAsia="zh-CN"/>
        </w:rPr>
        <w:t>污水处理厂提标改造等79个项目开工建设。</w:t>
      </w:r>
    </w:p>
    <w:p>
      <w:pPr>
        <w:keepNext w:val="0"/>
        <w:keepLines w:val="0"/>
        <w:pageBreakBefore w:val="0"/>
        <w:widowControl w:val="0"/>
        <w:numPr>
          <w:ilvl w:val="-1"/>
          <w:numId w:val="0"/>
        </w:numPr>
        <w:pBdr>
          <w:bottom w:val="none" w:color="auto" w:sz="0" w:space="0"/>
        </w:pBdr>
        <w:shd w:val="clear"/>
        <w:kinsoku/>
        <w:wordWrap/>
        <w:overflowPunct/>
        <w:topLinePunct w:val="0"/>
        <w:autoSpaceDE/>
        <w:autoSpaceDN/>
        <w:bidi w:val="0"/>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shd w:val="clear"/>
          <w:lang w:val="en-US" w:eastAsia="zh-CN"/>
        </w:rPr>
      </w:pPr>
      <w:r>
        <w:rPr>
          <w:rFonts w:hint="eastAsia" w:ascii="楷体_GB2312" w:hAnsi="楷体_GB2312" w:eastAsia="楷体_GB2312" w:cs="楷体_GB2312"/>
          <w:b/>
          <w:bCs/>
          <w:color w:val="auto"/>
          <w:kern w:val="0"/>
          <w:sz w:val="32"/>
          <w:szCs w:val="32"/>
          <w:highlight w:val="none"/>
          <w:shd w:val="clear"/>
          <w:lang w:val="en-US" w:eastAsia="zh-CN" w:bidi="ar"/>
        </w:rPr>
        <w:t>（三）全面实施乡村振兴战略。</w:t>
      </w:r>
      <w:r>
        <w:rPr>
          <w:rFonts w:hint="eastAsia" w:ascii="仿宋_GB2312" w:hAnsi="仿宋_GB2312" w:eastAsia="仿宋_GB2312" w:cs="仿宋_GB2312"/>
          <w:b/>
          <w:bCs/>
          <w:color w:val="auto"/>
          <w:kern w:val="2"/>
          <w:sz w:val="32"/>
          <w:szCs w:val="32"/>
          <w:highlight w:val="none"/>
          <w:shd w:val="clear"/>
          <w:lang w:val="en-US" w:eastAsia="zh-CN" w:bidi="ar"/>
        </w:rPr>
        <w:t>一是</w:t>
      </w:r>
      <w:r>
        <w:rPr>
          <w:rFonts w:hint="eastAsia" w:ascii="仿宋_GB2312" w:hAnsi="仿宋_GB2312" w:eastAsia="仿宋_GB2312" w:cs="仿宋_GB2312"/>
          <w:color w:val="auto"/>
          <w:sz w:val="32"/>
          <w:szCs w:val="32"/>
        </w:rPr>
        <w:t>深入开展“万名干部规划家乡行动”及成果提升，形成自然村“两图一书一表一民约”规划成果683个。</w:t>
      </w:r>
      <w:r>
        <w:rPr>
          <w:rFonts w:hint="eastAsia" w:ascii="仿宋_GB2312" w:hAnsi="仿宋_GB2312" w:eastAsia="仿宋_GB2312" w:cs="仿宋_GB2312"/>
          <w:b/>
          <w:bCs/>
          <w:color w:val="auto"/>
          <w:kern w:val="2"/>
          <w:sz w:val="32"/>
          <w:szCs w:val="32"/>
          <w:highlight w:val="none"/>
          <w:lang w:val="en-US" w:eastAsia="zh-CN" w:bidi="ar"/>
        </w:rPr>
        <w:t>二是</w:t>
      </w:r>
      <w:r>
        <w:rPr>
          <w:rFonts w:hint="eastAsia" w:ascii="仿宋_GB2312" w:hAnsi="仿宋_GB2312" w:eastAsia="仿宋_GB2312" w:cs="仿宋_GB2312"/>
          <w:b w:val="0"/>
          <w:bCs w:val="0"/>
          <w:color w:val="auto"/>
          <w:kern w:val="2"/>
          <w:sz w:val="32"/>
          <w:szCs w:val="32"/>
          <w:highlight w:val="none"/>
          <w:lang w:val="en-US" w:eastAsia="zh-CN" w:bidi="ar"/>
        </w:rPr>
        <w:t>制定</w:t>
      </w:r>
      <w:r>
        <w:rPr>
          <w:rFonts w:hint="eastAsia" w:ascii="仿宋_GB2312" w:hAnsi="仿宋_GB2312" w:eastAsia="仿宋_GB2312" w:cs="仿宋_GB2312"/>
          <w:color w:val="auto"/>
          <w:sz w:val="32"/>
          <w:szCs w:val="32"/>
          <w:highlight w:val="none"/>
          <w:lang w:bidi="ar"/>
        </w:rPr>
        <w:t>《临沧市临翔区乡村振兴示范区推进工作方案》</w:t>
      </w:r>
      <w:r>
        <w:rPr>
          <w:rFonts w:hint="eastAsia" w:ascii="仿宋_GB2312" w:hAnsi="仿宋_GB2312" w:eastAsia="仿宋_GB2312" w:cs="仿宋_GB2312"/>
          <w:color w:val="auto"/>
          <w:sz w:val="32"/>
          <w:szCs w:val="32"/>
          <w:highlight w:val="none"/>
          <w:lang w:eastAsia="zh-CN" w:bidi="ar"/>
        </w:rPr>
        <w:t>，</w:t>
      </w:r>
      <w:r>
        <w:rPr>
          <w:rFonts w:hint="eastAsia" w:ascii="仿宋_GB2312" w:hAnsi="仿宋_GB2312" w:eastAsia="仿宋_GB2312" w:cs="仿宋_GB2312"/>
          <w:color w:val="auto"/>
          <w:sz w:val="32"/>
          <w:szCs w:val="32"/>
          <w:highlight w:val="none"/>
          <w:lang w:val="en-US" w:eastAsia="zh-CN" w:bidi="ar"/>
        </w:rPr>
        <w:t>细化7个工作专班组，全力推进10项重大项目，62项重大任务。三</w:t>
      </w:r>
      <w:r>
        <w:rPr>
          <w:rFonts w:hint="eastAsia" w:ascii="仿宋_GB2312" w:hAnsi="仿宋_GB2312" w:eastAsia="仿宋_GB2312" w:cs="仿宋_GB2312"/>
          <w:b/>
          <w:bCs/>
          <w:color w:val="auto"/>
          <w:kern w:val="2"/>
          <w:sz w:val="32"/>
          <w:szCs w:val="32"/>
          <w:highlight w:val="none"/>
          <w:shd w:val="clear"/>
          <w:lang w:eastAsia="zh-CN" w:bidi="ar"/>
        </w:rPr>
        <w:t>是</w:t>
      </w:r>
      <w:r>
        <w:rPr>
          <w:rFonts w:hint="eastAsia" w:ascii="仿宋_GB2312" w:hAnsi="仿宋_GB2312" w:eastAsia="仿宋_GB2312" w:cs="仿宋_GB2312"/>
          <w:color w:val="auto"/>
          <w:sz w:val="32"/>
          <w:szCs w:val="32"/>
        </w:rPr>
        <w:t>大力发展乡村旅游，建成</w:t>
      </w:r>
      <w:r>
        <w:rPr>
          <w:rFonts w:hint="eastAsia" w:ascii="仿宋_GB2312" w:hAnsi="仿宋_GB2312" w:eastAsia="仿宋_GB2312" w:cs="仿宋_GB2312"/>
          <w:color w:val="auto"/>
          <w:sz w:val="32"/>
          <w:szCs w:val="32"/>
          <w:lang w:val="en-US" w:eastAsia="zh-CN"/>
        </w:rPr>
        <w:t>旅游厕所55座，智慧停车场5个</w:t>
      </w:r>
      <w:r>
        <w:rPr>
          <w:rFonts w:hint="eastAsia" w:ascii="仿宋_GB2312" w:hAnsi="仿宋_GB2312" w:eastAsia="仿宋_GB2312" w:cs="仿宋_GB2312"/>
          <w:color w:val="auto"/>
          <w:sz w:val="32"/>
          <w:szCs w:val="32"/>
        </w:rPr>
        <w:t>，美丽公路</w:t>
      </w:r>
      <w:r>
        <w:rPr>
          <w:rFonts w:hint="eastAsia" w:ascii="仿宋_GB2312" w:hAnsi="仿宋_GB2312" w:eastAsia="仿宋_GB2312" w:cs="仿宋_GB2312"/>
          <w:color w:val="auto"/>
          <w:sz w:val="32"/>
          <w:szCs w:val="32"/>
          <w:lang w:val="en-US" w:eastAsia="zh-CN"/>
        </w:rPr>
        <w:t>204.78</w:t>
      </w:r>
      <w:r>
        <w:rPr>
          <w:rFonts w:hint="eastAsia" w:ascii="仿宋_GB2312" w:hAnsi="仿宋_GB2312" w:eastAsia="仿宋_GB2312" w:cs="仿宋_GB2312"/>
          <w:color w:val="auto"/>
          <w:sz w:val="32"/>
          <w:szCs w:val="32"/>
        </w:rPr>
        <w:t>公里。入围省级美丽乡村公示18个行政村。抢抓中国农业大学挂钩帮扶临沧的机遇，将马台乡全河村萝卜山自然村、博尚镇碗窑村碗窑自然村确定为小农发展驱动乡村振兴实验区。</w:t>
      </w:r>
    </w:p>
    <w:p>
      <w:pPr>
        <w:keepNext w:val="0"/>
        <w:keepLines w:val="0"/>
        <w:pageBreakBefore w:val="0"/>
        <w:widowControl w:val="0"/>
        <w:numPr>
          <w:ilvl w:val="0"/>
          <w:numId w:val="0"/>
        </w:numPr>
        <w:pBdr>
          <w:bottom w:val="single" w:color="FFFFFF" w:sz="4" w:space="28"/>
        </w:pBdr>
        <w:shd w:val="clear"/>
        <w:kinsoku/>
        <w:wordWrap/>
        <w:overflowPunct/>
        <w:topLinePunct w:val="0"/>
        <w:autoSpaceDE/>
        <w:autoSpaceDN/>
        <w:bidi w:val="0"/>
        <w:spacing w:line="560" w:lineRule="exact"/>
        <w:ind w:left="0" w:leftChars="0" w:right="0" w:rightChars="0" w:firstLine="643" w:firstLineChars="200"/>
        <w:jc w:val="both"/>
        <w:textAlignment w:val="baseline"/>
        <w:outlineLvl w:val="9"/>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bCs/>
          <w:color w:val="auto"/>
          <w:kern w:val="0"/>
          <w:sz w:val="32"/>
          <w:szCs w:val="32"/>
          <w:highlight w:val="none"/>
          <w:shd w:val="clear"/>
          <w:lang w:val="en-US" w:eastAsia="zh-CN" w:bidi="ar"/>
        </w:rPr>
        <w:t>（四）</w:t>
      </w:r>
      <w:r>
        <w:rPr>
          <w:rFonts w:hint="eastAsia" w:ascii="楷体_GB2312" w:hAnsi="楷体_GB2312" w:eastAsia="楷体_GB2312" w:cs="楷体_GB2312"/>
          <w:b/>
          <w:bCs/>
          <w:color w:val="auto"/>
          <w:kern w:val="0"/>
          <w:sz w:val="32"/>
          <w:szCs w:val="32"/>
          <w:highlight w:val="none"/>
          <w:lang w:bidi="ar"/>
        </w:rPr>
        <w:t>构建现代产业体系</w:t>
      </w:r>
      <w:r>
        <w:rPr>
          <w:rFonts w:hint="eastAsia" w:ascii="楷体_GB2312" w:hAnsi="楷体_GB2312" w:eastAsia="楷体_GB2312" w:cs="楷体_GB2312"/>
          <w:b/>
          <w:bCs/>
          <w:color w:val="auto"/>
          <w:kern w:val="0"/>
          <w:sz w:val="32"/>
          <w:szCs w:val="32"/>
          <w:highlight w:val="none"/>
          <w:lang w:eastAsia="zh-CN" w:bidi="ar"/>
        </w:rPr>
        <w:t>。</w:t>
      </w:r>
      <w:r>
        <w:rPr>
          <w:rFonts w:hint="eastAsia" w:ascii="仿宋_GB2312" w:hAnsi="仿宋_GB2312" w:eastAsia="仿宋_GB2312" w:cs="仿宋_GB2312"/>
          <w:b/>
          <w:bCs/>
          <w:color w:val="auto"/>
          <w:sz w:val="32"/>
          <w:szCs w:val="32"/>
          <w:highlight w:val="none"/>
          <w:lang w:val="en-US" w:eastAsia="zh-CN"/>
        </w:rPr>
        <w:t>一是打造</w:t>
      </w:r>
      <w:r>
        <w:rPr>
          <w:rFonts w:hint="eastAsia" w:ascii="仿宋_GB2312" w:hAnsi="仿宋_GB2312" w:eastAsia="仿宋_GB2312" w:cs="仿宋_GB2312"/>
          <w:b/>
          <w:bCs/>
          <w:color w:val="auto"/>
          <w:sz w:val="32"/>
          <w:szCs w:val="32"/>
          <w:highlight w:val="none"/>
        </w:rPr>
        <w:t>高原特色现代农业</w:t>
      </w:r>
      <w:r>
        <w:rPr>
          <w:rFonts w:hint="eastAsia" w:ascii="仿宋_GB2312" w:hAnsi="仿宋_GB2312" w:eastAsia="仿宋_GB2312" w:cs="仿宋_GB2312"/>
          <w:color w:val="auto"/>
          <w:sz w:val="32"/>
          <w:szCs w:val="32"/>
          <w:highlight w:val="none"/>
          <w:lang w:eastAsia="zh-CN"/>
        </w:rPr>
        <w:t>。全面落实粮食安全，</w:t>
      </w:r>
      <w:r>
        <w:rPr>
          <w:rFonts w:hint="eastAsia" w:ascii="仿宋_GB2312" w:hAnsi="仿宋_GB2312" w:eastAsia="仿宋_GB2312" w:cs="仿宋_GB2312"/>
          <w:color w:val="auto"/>
          <w:sz w:val="32"/>
          <w:szCs w:val="32"/>
          <w:highlight w:val="none"/>
        </w:rPr>
        <w:t>实现粮食产量</w:t>
      </w:r>
      <w:r>
        <w:rPr>
          <w:rFonts w:hint="eastAsia" w:ascii="仿宋_GB2312" w:hAnsi="仿宋_GB2312" w:eastAsia="仿宋_GB2312" w:cs="仿宋_GB2312"/>
          <w:b w:val="0"/>
          <w:bCs w:val="0"/>
          <w:color w:val="auto"/>
          <w:sz w:val="32"/>
          <w:szCs w:val="32"/>
          <w:highlight w:val="none"/>
        </w:rPr>
        <w:t>9.</w:t>
      </w:r>
      <w:r>
        <w:rPr>
          <w:rFonts w:hint="eastAsia" w:ascii="仿宋_GB2312" w:hAnsi="仿宋_GB2312" w:eastAsia="仿宋_GB2312" w:cs="仿宋_GB2312"/>
          <w:b w:val="0"/>
          <w:bCs w:val="0"/>
          <w:color w:val="auto"/>
          <w:sz w:val="32"/>
          <w:szCs w:val="32"/>
          <w:highlight w:val="none"/>
          <w:lang w:val="en-US" w:eastAsia="zh-CN"/>
        </w:rPr>
        <w:t>62</w:t>
      </w:r>
      <w:r>
        <w:rPr>
          <w:rFonts w:hint="eastAsia" w:ascii="仿宋_GB2312" w:hAnsi="仿宋_GB2312" w:eastAsia="仿宋_GB2312" w:cs="仿宋_GB2312"/>
          <w:color w:val="auto"/>
          <w:sz w:val="32"/>
          <w:szCs w:val="32"/>
          <w:highlight w:val="none"/>
        </w:rPr>
        <w:t>万吨；茶叶26.07万亩，产量1.91万吨，综合产值33.31亿元；核桃</w:t>
      </w:r>
      <w:r>
        <w:rPr>
          <w:rFonts w:hint="eastAsia" w:ascii="仿宋_GB2312" w:hAnsi="仿宋_GB2312" w:eastAsia="仿宋_GB2312" w:cs="仿宋_GB2312"/>
          <w:color w:val="auto"/>
          <w:sz w:val="32"/>
          <w:szCs w:val="32"/>
          <w:highlight w:val="none"/>
          <w:lang w:val="en-US" w:eastAsia="zh-CN"/>
        </w:rPr>
        <w:t>91.6</w:t>
      </w:r>
      <w:r>
        <w:rPr>
          <w:rFonts w:hint="eastAsia" w:ascii="仿宋_GB2312" w:hAnsi="仿宋_GB2312" w:eastAsia="仿宋_GB2312" w:cs="仿宋_GB2312"/>
          <w:color w:val="auto"/>
          <w:sz w:val="32"/>
          <w:szCs w:val="32"/>
          <w:highlight w:val="none"/>
        </w:rPr>
        <w:t>万亩，产量</w:t>
      </w:r>
      <w:r>
        <w:rPr>
          <w:rFonts w:hint="eastAsia" w:ascii="仿宋_GB2312" w:hAnsi="仿宋_GB2312" w:eastAsia="仿宋_GB2312" w:cs="仿宋_GB2312"/>
          <w:color w:val="auto"/>
          <w:sz w:val="32"/>
          <w:szCs w:val="32"/>
          <w:highlight w:val="none"/>
          <w:lang w:val="en-US" w:eastAsia="zh-CN"/>
        </w:rPr>
        <w:t>2.62</w:t>
      </w:r>
      <w:r>
        <w:rPr>
          <w:rFonts w:hint="eastAsia" w:ascii="仿宋_GB2312" w:hAnsi="仿宋_GB2312" w:eastAsia="仿宋_GB2312" w:cs="仿宋_GB2312"/>
          <w:color w:val="auto"/>
          <w:sz w:val="32"/>
          <w:szCs w:val="32"/>
          <w:highlight w:val="none"/>
        </w:rPr>
        <w:t>万吨</w:t>
      </w:r>
      <w:r>
        <w:rPr>
          <w:rFonts w:hint="eastAsia" w:ascii="仿宋_GB2312" w:hAnsi="仿宋_GB2312" w:eastAsia="仿宋_GB2312" w:cs="仿宋_GB2312"/>
          <w:color w:val="auto"/>
          <w:sz w:val="32"/>
          <w:szCs w:val="32"/>
          <w:highlight w:val="none"/>
          <w:lang w:eastAsia="zh-CN"/>
        </w:rPr>
        <w:t>（鲜果）</w:t>
      </w:r>
      <w:r>
        <w:rPr>
          <w:rFonts w:hint="eastAsia" w:ascii="仿宋_GB2312" w:hAnsi="仿宋_GB2312" w:eastAsia="仿宋_GB2312" w:cs="仿宋_GB2312"/>
          <w:color w:val="auto"/>
          <w:sz w:val="32"/>
          <w:szCs w:val="32"/>
          <w:highlight w:val="none"/>
        </w:rPr>
        <w:t>，产值</w:t>
      </w:r>
      <w:r>
        <w:rPr>
          <w:rFonts w:hint="eastAsia" w:ascii="仿宋_GB2312" w:hAnsi="仿宋_GB2312" w:eastAsia="仿宋_GB2312" w:cs="仿宋_GB2312"/>
          <w:color w:val="auto"/>
          <w:sz w:val="32"/>
          <w:szCs w:val="32"/>
          <w:highlight w:val="none"/>
          <w:lang w:val="en-US" w:eastAsia="zh-CN"/>
        </w:rPr>
        <w:t>1.57</w:t>
      </w:r>
      <w:r>
        <w:rPr>
          <w:rFonts w:hint="eastAsia" w:ascii="仿宋_GB2312" w:hAnsi="仿宋_GB2312" w:eastAsia="仿宋_GB2312" w:cs="仿宋_GB2312"/>
          <w:color w:val="auto"/>
          <w:sz w:val="32"/>
          <w:szCs w:val="32"/>
          <w:highlight w:val="none"/>
        </w:rPr>
        <w:t>亿元；坚果</w:t>
      </w:r>
      <w:r>
        <w:rPr>
          <w:rFonts w:hint="eastAsia" w:ascii="仿宋_GB2312" w:hAnsi="仿宋_GB2312" w:eastAsia="仿宋_GB2312" w:cs="仿宋_GB2312"/>
          <w:color w:val="auto"/>
          <w:sz w:val="32"/>
          <w:szCs w:val="32"/>
          <w:highlight w:val="none"/>
          <w:lang w:val="en-US" w:eastAsia="zh-CN"/>
        </w:rPr>
        <w:t>19.8</w:t>
      </w:r>
      <w:r>
        <w:rPr>
          <w:rFonts w:hint="eastAsia" w:ascii="仿宋_GB2312" w:hAnsi="仿宋_GB2312" w:eastAsia="仿宋_GB2312" w:cs="仿宋_GB2312"/>
          <w:color w:val="auto"/>
          <w:sz w:val="32"/>
          <w:szCs w:val="32"/>
          <w:highlight w:val="none"/>
        </w:rPr>
        <w:t>万亩，产量</w:t>
      </w:r>
      <w:r>
        <w:rPr>
          <w:rFonts w:hint="eastAsia" w:ascii="仿宋_GB2312" w:hAnsi="仿宋_GB2312" w:eastAsia="仿宋_GB2312" w:cs="仿宋_GB2312"/>
          <w:color w:val="auto"/>
          <w:sz w:val="32"/>
          <w:szCs w:val="32"/>
          <w:highlight w:val="none"/>
          <w:lang w:val="en-US" w:eastAsia="zh-CN"/>
        </w:rPr>
        <w:t>3831</w:t>
      </w:r>
      <w:r>
        <w:rPr>
          <w:rFonts w:hint="eastAsia" w:ascii="仿宋_GB2312" w:hAnsi="仿宋_GB2312" w:eastAsia="仿宋_GB2312" w:cs="仿宋_GB2312"/>
          <w:color w:val="auto"/>
          <w:sz w:val="32"/>
          <w:szCs w:val="32"/>
          <w:highlight w:val="none"/>
        </w:rPr>
        <w:t>吨</w:t>
      </w:r>
      <w:r>
        <w:rPr>
          <w:rFonts w:hint="eastAsia" w:ascii="仿宋_GB2312" w:hAnsi="仿宋_GB2312" w:eastAsia="仿宋_GB2312" w:cs="仿宋_GB2312"/>
          <w:color w:val="auto"/>
          <w:sz w:val="32"/>
          <w:szCs w:val="32"/>
          <w:highlight w:val="none"/>
          <w:lang w:eastAsia="zh-CN"/>
        </w:rPr>
        <w:t>（鲜果）</w:t>
      </w:r>
      <w:r>
        <w:rPr>
          <w:rFonts w:hint="eastAsia" w:ascii="仿宋_GB2312" w:hAnsi="仿宋_GB2312" w:eastAsia="仿宋_GB2312" w:cs="仿宋_GB2312"/>
          <w:color w:val="auto"/>
          <w:sz w:val="32"/>
          <w:szCs w:val="32"/>
          <w:highlight w:val="none"/>
        </w:rPr>
        <w:t>，产值</w:t>
      </w:r>
      <w:r>
        <w:rPr>
          <w:rFonts w:hint="eastAsia" w:ascii="仿宋_GB2312" w:hAnsi="仿宋_GB2312" w:eastAsia="仿宋_GB2312" w:cs="仿宋_GB2312"/>
          <w:color w:val="auto"/>
          <w:sz w:val="32"/>
          <w:szCs w:val="32"/>
          <w:highlight w:val="none"/>
          <w:lang w:val="en-US" w:eastAsia="zh-CN"/>
        </w:rPr>
        <w:t>0.69</w:t>
      </w:r>
      <w:r>
        <w:rPr>
          <w:rFonts w:hint="eastAsia" w:ascii="仿宋_GB2312" w:hAnsi="仿宋_GB2312" w:eastAsia="仿宋_GB2312" w:cs="仿宋_GB2312"/>
          <w:color w:val="auto"/>
          <w:sz w:val="32"/>
          <w:szCs w:val="32"/>
          <w:highlight w:val="none"/>
        </w:rPr>
        <w:t>亿元；蔬菜7.5万亩，产量8.9万吨，产值</w:t>
      </w:r>
      <w:r>
        <w:rPr>
          <w:rFonts w:hint="eastAsia" w:ascii="仿宋_GB2312" w:hAnsi="仿宋_GB2312" w:eastAsia="仿宋_GB2312" w:cs="仿宋_GB2312"/>
          <w:color w:val="auto"/>
          <w:sz w:val="32"/>
          <w:szCs w:val="32"/>
          <w:highlight w:val="none"/>
          <w:lang w:val="en-US" w:eastAsia="zh-CN"/>
        </w:rPr>
        <w:t>4.2</w:t>
      </w:r>
      <w:r>
        <w:rPr>
          <w:rFonts w:hint="eastAsia" w:ascii="仿宋_GB2312" w:hAnsi="仿宋_GB2312" w:eastAsia="仿宋_GB2312" w:cs="仿宋_GB2312"/>
          <w:color w:val="auto"/>
          <w:sz w:val="32"/>
          <w:szCs w:val="32"/>
          <w:highlight w:val="none"/>
        </w:rPr>
        <w:t>亿元；烤烟5.3万亩，产量14万担，</w:t>
      </w:r>
      <w:r>
        <w:rPr>
          <w:rFonts w:hint="eastAsia" w:ascii="仿宋_GB2312" w:hAnsi="仿宋_GB2312" w:eastAsia="仿宋_GB2312" w:cs="仿宋_GB2312"/>
          <w:color w:val="auto"/>
          <w:sz w:val="32"/>
          <w:szCs w:val="32"/>
          <w:highlight w:val="none"/>
          <w:lang w:eastAsia="zh-CN"/>
        </w:rPr>
        <w:t>烟农收入</w:t>
      </w:r>
      <w:r>
        <w:rPr>
          <w:rFonts w:hint="eastAsia" w:ascii="仿宋_GB2312" w:hAnsi="仿宋_GB2312" w:eastAsia="仿宋_GB2312" w:cs="仿宋_GB2312"/>
          <w:color w:val="auto"/>
          <w:sz w:val="32"/>
          <w:szCs w:val="32"/>
          <w:highlight w:val="none"/>
        </w:rPr>
        <w:t>2.15亿元；</w:t>
      </w:r>
      <w:r>
        <w:rPr>
          <w:rFonts w:hint="eastAsia" w:ascii="仿宋_GB2312" w:hAnsi="仿宋_GB2312" w:eastAsia="仿宋_GB2312" w:cs="仿宋_GB2312"/>
          <w:color w:val="auto"/>
          <w:sz w:val="32"/>
          <w:szCs w:val="32"/>
          <w:highlight w:val="none"/>
          <w:lang w:eastAsia="zh-CN"/>
        </w:rPr>
        <w:t>油菜种植</w:t>
      </w:r>
      <w:r>
        <w:rPr>
          <w:rFonts w:hint="eastAsia" w:ascii="仿宋_GB2312" w:hAnsi="仿宋_GB2312" w:eastAsia="仿宋_GB2312" w:cs="仿宋_GB2312"/>
          <w:color w:val="auto"/>
          <w:sz w:val="32"/>
          <w:szCs w:val="32"/>
          <w:highlight w:val="none"/>
          <w:lang w:val="en-US" w:eastAsia="zh-CN"/>
        </w:rPr>
        <w:t>6.69万亩，产量1.38万吨，产值0.97亿元；</w:t>
      </w:r>
      <w:r>
        <w:rPr>
          <w:rFonts w:hint="eastAsia" w:ascii="仿宋_GB2312" w:hAnsi="仿宋_GB2312" w:eastAsia="仿宋_GB2312" w:cs="仿宋_GB2312"/>
          <w:color w:val="auto"/>
          <w:sz w:val="32"/>
          <w:szCs w:val="32"/>
          <w:highlight w:val="none"/>
        </w:rPr>
        <w:t>咖啡</w:t>
      </w:r>
      <w:r>
        <w:rPr>
          <w:rFonts w:hint="eastAsia" w:ascii="仿宋_GB2312" w:hAnsi="仿宋_GB2312" w:eastAsia="仿宋_GB2312" w:cs="仿宋_GB2312"/>
          <w:color w:val="auto"/>
          <w:sz w:val="32"/>
          <w:szCs w:val="32"/>
          <w:highlight w:val="none"/>
          <w:lang w:val="en-US" w:eastAsia="zh-CN"/>
        </w:rPr>
        <w:t>3.61</w:t>
      </w:r>
      <w:r>
        <w:rPr>
          <w:rFonts w:hint="eastAsia" w:ascii="仿宋_GB2312" w:hAnsi="仿宋_GB2312" w:eastAsia="仿宋_GB2312" w:cs="仿宋_GB2312"/>
          <w:color w:val="auto"/>
          <w:sz w:val="32"/>
          <w:szCs w:val="32"/>
          <w:highlight w:val="none"/>
        </w:rPr>
        <w:t>万亩，产量</w:t>
      </w:r>
      <w:r>
        <w:rPr>
          <w:rFonts w:hint="eastAsia" w:ascii="仿宋_GB2312" w:hAnsi="仿宋_GB2312" w:eastAsia="仿宋_GB2312" w:cs="仿宋_GB2312"/>
          <w:color w:val="auto"/>
          <w:sz w:val="32"/>
          <w:szCs w:val="32"/>
          <w:highlight w:val="none"/>
          <w:lang w:val="en-US" w:eastAsia="zh-CN"/>
        </w:rPr>
        <w:t>1875</w:t>
      </w:r>
      <w:r>
        <w:rPr>
          <w:rFonts w:hint="eastAsia" w:ascii="仿宋_GB2312" w:hAnsi="仿宋_GB2312" w:eastAsia="仿宋_GB2312" w:cs="仿宋_GB2312"/>
          <w:color w:val="auto"/>
          <w:sz w:val="32"/>
          <w:szCs w:val="32"/>
          <w:highlight w:val="none"/>
        </w:rPr>
        <w:t>吨</w:t>
      </w:r>
      <w:r>
        <w:rPr>
          <w:rFonts w:hint="eastAsia" w:ascii="仿宋_GB2312" w:hAnsi="仿宋_GB2312" w:eastAsia="仿宋_GB2312" w:cs="仿宋_GB2312"/>
          <w:color w:val="auto"/>
          <w:sz w:val="32"/>
          <w:szCs w:val="32"/>
          <w:highlight w:val="none"/>
          <w:lang w:eastAsia="zh-CN"/>
        </w:rPr>
        <w:t>（干豆）</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val="0"/>
          <w:bCs w:val="0"/>
          <w:color w:val="auto"/>
          <w:sz w:val="32"/>
          <w:szCs w:val="32"/>
          <w:highlight w:val="none"/>
        </w:rPr>
        <w:t>产值</w:t>
      </w:r>
      <w:r>
        <w:rPr>
          <w:rFonts w:hint="eastAsia" w:ascii="仿宋_GB2312" w:hAnsi="仿宋_GB2312" w:eastAsia="仿宋_GB2312" w:cs="仿宋_GB2312"/>
          <w:color w:val="auto"/>
          <w:sz w:val="32"/>
          <w:szCs w:val="32"/>
          <w:highlight w:val="none"/>
        </w:rPr>
        <w:t>0.</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7亿元；甘蔗2.78万亩，产量11.90万吨，产值0.</w:t>
      </w:r>
      <w:r>
        <w:rPr>
          <w:rFonts w:hint="eastAsia" w:ascii="仿宋_GB2312" w:hAnsi="仿宋_GB2312" w:eastAsia="仿宋_GB2312" w:cs="仿宋_GB2312"/>
          <w:color w:val="auto"/>
          <w:sz w:val="32"/>
          <w:szCs w:val="32"/>
          <w:highlight w:val="none"/>
          <w:lang w:val="en-US" w:eastAsia="zh-CN"/>
        </w:rPr>
        <w:t>58</w:t>
      </w:r>
      <w:r>
        <w:rPr>
          <w:rFonts w:hint="eastAsia" w:ascii="仿宋_GB2312" w:hAnsi="仿宋_GB2312" w:eastAsia="仿宋_GB2312" w:cs="仿宋_GB2312"/>
          <w:color w:val="auto"/>
          <w:sz w:val="32"/>
          <w:szCs w:val="32"/>
          <w:highlight w:val="none"/>
        </w:rPr>
        <w:t>亿元；水果8.6万亩，产量7.9万吨。生猪存栏22.86万头，出栏26.06万头；牛存栏4.64万头，出栏1.23万头；羊存栏8.86万只，出栏6万只；家禽存栏171.04万羽，出栏333万羽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肉类总产量达</w:t>
      </w:r>
      <w:r>
        <w:rPr>
          <w:rFonts w:hint="eastAsia" w:ascii="仿宋_GB2312" w:hAnsi="仿宋_GB2312" w:eastAsia="仿宋_GB2312" w:cs="仿宋_GB2312"/>
          <w:color w:val="auto"/>
          <w:sz w:val="32"/>
          <w:szCs w:val="32"/>
          <w:highlight w:val="none"/>
          <w:lang w:val="en-US" w:eastAsia="zh-CN"/>
        </w:rPr>
        <w:t>2.24</w:t>
      </w:r>
      <w:r>
        <w:rPr>
          <w:rFonts w:hint="eastAsia" w:ascii="仿宋_GB2312" w:hAnsi="仿宋_GB2312" w:eastAsia="仿宋_GB2312" w:cs="仿宋_GB2312"/>
          <w:color w:val="auto"/>
          <w:sz w:val="32"/>
          <w:szCs w:val="32"/>
          <w:highlight w:val="none"/>
        </w:rPr>
        <w:t>万吨，产值达</w:t>
      </w:r>
      <w:r>
        <w:rPr>
          <w:rFonts w:hint="eastAsia" w:ascii="仿宋_GB2312" w:hAnsi="仿宋_GB2312" w:eastAsia="仿宋_GB2312" w:cs="仿宋_GB2312"/>
          <w:color w:val="auto"/>
          <w:sz w:val="32"/>
          <w:szCs w:val="32"/>
          <w:highlight w:val="none"/>
          <w:lang w:val="en-US" w:eastAsia="zh-CN"/>
        </w:rPr>
        <w:t>11.16</w:t>
      </w:r>
      <w:r>
        <w:rPr>
          <w:rFonts w:hint="eastAsia" w:ascii="仿宋_GB2312" w:hAnsi="仿宋_GB2312" w:eastAsia="仿宋_GB2312" w:cs="仿宋_GB2312"/>
          <w:color w:val="auto"/>
          <w:sz w:val="32"/>
          <w:szCs w:val="32"/>
          <w:highlight w:val="none"/>
        </w:rPr>
        <w:t>亿元；水产品总产量达3611吨，产值达0.64亿元。</w:t>
      </w:r>
      <w:r>
        <w:rPr>
          <w:rFonts w:hint="eastAsia" w:ascii="仿宋_GB2312" w:hAnsi="仿宋_GB2312" w:eastAsia="仿宋_GB2312" w:cs="仿宋_GB2312"/>
          <w:color w:val="auto"/>
          <w:sz w:val="32"/>
          <w:szCs w:val="32"/>
          <w:highlight w:val="none"/>
          <w:lang w:eastAsia="zh-CN"/>
        </w:rPr>
        <w:t>实现农林牧渔业可比价总产值</w:t>
      </w:r>
      <w:r>
        <w:rPr>
          <w:rFonts w:hint="eastAsia" w:ascii="仿宋_GB2312" w:hAnsi="仿宋_GB2312" w:eastAsia="仿宋_GB2312" w:cs="仿宋_GB2312"/>
          <w:color w:val="auto"/>
          <w:sz w:val="32"/>
          <w:szCs w:val="32"/>
          <w:highlight w:val="none"/>
          <w:lang w:val="en-US" w:eastAsia="zh-CN"/>
        </w:rPr>
        <w:t>增长11.2%。</w:t>
      </w:r>
      <w:r>
        <w:rPr>
          <w:rFonts w:hint="eastAsia" w:ascii="仿宋_GB2312" w:hAnsi="仿宋_GB2312" w:eastAsia="仿宋_GB2312" w:cs="仿宋_GB2312"/>
          <w:b/>
          <w:bCs/>
          <w:color w:val="auto"/>
          <w:sz w:val="32"/>
          <w:szCs w:val="32"/>
          <w:lang w:val="en-US" w:eastAsia="zh-CN"/>
        </w:rPr>
        <w:t>二</w:t>
      </w:r>
      <w:r>
        <w:rPr>
          <w:rFonts w:hint="eastAsia" w:ascii="仿宋_GB2312" w:hAnsi="仿宋_GB2312" w:eastAsia="仿宋_GB2312" w:cs="仿宋_GB2312"/>
          <w:b/>
          <w:bCs/>
          <w:color w:val="auto"/>
          <w:sz w:val="32"/>
          <w:szCs w:val="32"/>
          <w:highlight w:val="none"/>
          <w:shd w:val="clear"/>
          <w:lang w:val="en-US" w:eastAsia="zh-CN"/>
        </w:rPr>
        <w:t>是</w:t>
      </w:r>
      <w:r>
        <w:rPr>
          <w:rFonts w:hint="eastAsia" w:ascii="仿宋_GB2312" w:hAnsi="仿宋_GB2312" w:eastAsia="仿宋_GB2312" w:cs="仿宋_GB2312"/>
          <w:b/>
          <w:bCs/>
          <w:color w:val="auto"/>
          <w:sz w:val="32"/>
          <w:szCs w:val="32"/>
          <w:highlight w:val="none"/>
          <w:shd w:val="clear"/>
        </w:rPr>
        <w:t>打造“绿色能源牌”</w:t>
      </w:r>
      <w:r>
        <w:rPr>
          <w:rFonts w:hint="eastAsia" w:ascii="仿宋_GB2312" w:hAnsi="仿宋_GB2312" w:eastAsia="仿宋_GB2312" w:cs="仿宋_GB2312"/>
          <w:color w:val="auto"/>
          <w:sz w:val="32"/>
          <w:szCs w:val="32"/>
          <w:highlight w:val="none"/>
          <w:shd w:val="clear"/>
        </w:rPr>
        <w:t>。抓好以锗、高岭土、硅藻土等为主的优势矿产工业电力消纳工作，推动绿色能源与绿色先进制造业深度融合。</w:t>
      </w:r>
      <w:r>
        <w:rPr>
          <w:rFonts w:hint="eastAsia" w:ascii="仿宋_GB2312" w:hAnsi="仿宋_GB2312" w:eastAsia="仿宋_GB2312" w:cs="仿宋_GB2312"/>
          <w:color w:val="auto"/>
          <w:sz w:val="32"/>
          <w:szCs w:val="32"/>
          <w:highlight w:val="none"/>
          <w:shd w:val="clear"/>
          <w:lang w:val="en-US" w:eastAsia="zh-CN"/>
        </w:rPr>
        <w:t>新建完成4座加油站，新建充电基础设施78桩（枪），</w:t>
      </w:r>
      <w:r>
        <w:rPr>
          <w:rFonts w:hint="eastAsia" w:ascii="仿宋_GB2312" w:hAnsi="仿宋_GB2312" w:eastAsia="仿宋_GB2312" w:cs="仿宋_GB2312"/>
          <w:color w:val="auto"/>
          <w:sz w:val="32"/>
          <w:szCs w:val="32"/>
          <w:highlight w:val="none"/>
          <w:shd w:val="clear"/>
        </w:rPr>
        <w:t>220千伏凤翔输变电</w:t>
      </w:r>
      <w:r>
        <w:rPr>
          <w:rFonts w:hint="eastAsia" w:ascii="仿宋_GB2312" w:hAnsi="仿宋_GB2312" w:eastAsia="仿宋_GB2312" w:cs="仿宋_GB2312"/>
          <w:color w:val="auto"/>
          <w:sz w:val="32"/>
          <w:szCs w:val="32"/>
          <w:highlight w:val="none"/>
          <w:shd w:val="clear"/>
          <w:lang w:val="en-US" w:eastAsia="zh-CN"/>
        </w:rPr>
        <w:t>站竣工投入使用</w:t>
      </w:r>
      <w:r>
        <w:rPr>
          <w:rFonts w:hint="eastAsia" w:ascii="仿宋_GB2312" w:hAnsi="仿宋_GB2312" w:eastAsia="仿宋_GB2312" w:cs="仿宋_GB2312"/>
          <w:color w:val="auto"/>
          <w:sz w:val="32"/>
          <w:szCs w:val="32"/>
          <w:highlight w:val="none"/>
          <w:shd w:val="clear"/>
        </w:rPr>
        <w:t>，</w:t>
      </w:r>
      <w:r>
        <w:rPr>
          <w:rFonts w:hint="eastAsia" w:ascii="仿宋_GB2312" w:hAnsi="仿宋_GB2312" w:eastAsia="仿宋_GB2312" w:cs="仿宋_GB2312"/>
          <w:color w:val="auto"/>
          <w:sz w:val="32"/>
          <w:szCs w:val="32"/>
          <w:highlight w:val="none"/>
          <w:shd w:val="clear"/>
          <w:lang w:val="en-US" w:eastAsia="zh-CN"/>
        </w:rPr>
        <w:t>临翔区分布式光伏项目顺利开工，</w:t>
      </w:r>
      <w:r>
        <w:rPr>
          <w:rFonts w:hint="eastAsia" w:ascii="仿宋_GB2312" w:hAnsi="仿宋_GB2312" w:eastAsia="仿宋_GB2312" w:cs="仿宋_GB2312"/>
          <w:color w:val="auto"/>
          <w:sz w:val="32"/>
          <w:szCs w:val="32"/>
          <w:highlight w:val="none"/>
          <w:shd w:val="clear"/>
        </w:rPr>
        <w:t>天然气管道临沧支线（二期）、主城区充电桩设施建设等项目前期加快推进。</w:t>
      </w:r>
      <w:r>
        <w:rPr>
          <w:rFonts w:hint="eastAsia" w:ascii="仿宋_GB2312" w:hAnsi="仿宋_GB2312" w:eastAsia="仿宋_GB2312" w:cs="仿宋_GB2312"/>
          <w:color w:val="auto"/>
          <w:spacing w:val="0"/>
          <w:sz w:val="32"/>
          <w:szCs w:val="32"/>
          <w:highlight w:val="none"/>
          <w:lang w:val="en-US" w:eastAsia="zh-CN"/>
        </w:rPr>
        <w:t>支持电力市场化改革，完成企业电力市场化交易</w:t>
      </w:r>
      <w:r>
        <w:rPr>
          <w:rFonts w:hint="eastAsia" w:ascii="仿宋_GB2312" w:hAnsi="仿宋_GB2312" w:eastAsia="仿宋_GB2312" w:cs="仿宋_GB2312"/>
          <w:color w:val="auto"/>
          <w:sz w:val="32"/>
          <w:szCs w:val="32"/>
          <w:highlight w:val="none"/>
        </w:rPr>
        <w:t>14260.67</w:t>
      </w:r>
      <w:r>
        <w:rPr>
          <w:rFonts w:hint="eastAsia" w:ascii="仿宋_GB2312" w:hAnsi="仿宋_GB2312" w:eastAsia="仿宋_GB2312" w:cs="仿宋_GB2312"/>
          <w:color w:val="auto"/>
          <w:spacing w:val="0"/>
          <w:sz w:val="32"/>
          <w:szCs w:val="32"/>
          <w:highlight w:val="none"/>
          <w:lang w:val="en-US" w:eastAsia="zh-CN"/>
        </w:rPr>
        <w:t>万千瓦时，增长10%。</w:t>
      </w:r>
      <w:r>
        <w:rPr>
          <w:rFonts w:hint="eastAsia" w:ascii="仿宋_GB2312" w:hAnsi="仿宋_GB2312" w:eastAsia="仿宋_GB2312" w:cs="仿宋_GB2312"/>
          <w:color w:val="auto"/>
          <w:sz w:val="32"/>
          <w:szCs w:val="32"/>
          <w:highlight w:val="none"/>
          <w:shd w:val="clear"/>
          <w:lang w:val="en-US" w:eastAsia="zh-CN"/>
        </w:rPr>
        <w:t>全年发电量达</w:t>
      </w:r>
      <w:r>
        <w:rPr>
          <w:rFonts w:hint="eastAsia" w:ascii="仿宋_GB2312" w:hAnsi="仿宋_GB2312" w:eastAsia="仿宋_GB2312" w:cs="仿宋_GB2312"/>
          <w:color w:val="auto"/>
          <w:sz w:val="32"/>
          <w:szCs w:val="32"/>
          <w:highlight w:val="none"/>
          <w:lang w:val="en-US" w:eastAsia="zh-CN"/>
        </w:rPr>
        <w:t>35223.44万</w:t>
      </w:r>
      <w:r>
        <w:rPr>
          <w:rFonts w:hint="eastAsia" w:ascii="仿宋_GB2312" w:hAnsi="仿宋_GB2312" w:eastAsia="仿宋_GB2312" w:cs="仿宋_GB2312"/>
          <w:color w:val="auto"/>
          <w:sz w:val="32"/>
          <w:szCs w:val="32"/>
          <w:highlight w:val="none"/>
          <w:shd w:val="clear"/>
          <w:lang w:val="en-US" w:eastAsia="zh-CN"/>
        </w:rPr>
        <w:t>千瓦时，其中：水发电</w:t>
      </w:r>
      <w:r>
        <w:rPr>
          <w:rFonts w:hint="eastAsia" w:ascii="仿宋_GB2312" w:hAnsi="仿宋_GB2312" w:eastAsia="仿宋_GB2312" w:cs="仿宋_GB2312"/>
          <w:color w:val="auto"/>
          <w:sz w:val="32"/>
          <w:szCs w:val="32"/>
          <w:highlight w:val="none"/>
          <w:lang w:val="en-US" w:eastAsia="zh-CN"/>
        </w:rPr>
        <w:t>30142.68万</w:t>
      </w:r>
      <w:r>
        <w:rPr>
          <w:rFonts w:hint="eastAsia" w:ascii="仿宋_GB2312" w:hAnsi="仿宋_GB2312" w:eastAsia="仿宋_GB2312" w:cs="仿宋_GB2312"/>
          <w:color w:val="auto"/>
          <w:sz w:val="32"/>
          <w:szCs w:val="32"/>
          <w:highlight w:val="none"/>
          <w:shd w:val="clear"/>
          <w:lang w:val="en-US" w:eastAsia="zh-CN"/>
        </w:rPr>
        <w:t>千瓦时，光伏发电</w:t>
      </w:r>
      <w:r>
        <w:rPr>
          <w:rFonts w:hint="eastAsia" w:ascii="仿宋_GB2312" w:hAnsi="仿宋_GB2312" w:eastAsia="仿宋_GB2312" w:cs="仿宋_GB2312"/>
          <w:color w:val="auto"/>
          <w:sz w:val="32"/>
          <w:szCs w:val="32"/>
          <w:highlight w:val="none"/>
          <w:lang w:val="en-US" w:eastAsia="zh-CN"/>
        </w:rPr>
        <w:t>4067.28</w:t>
      </w:r>
      <w:r>
        <w:rPr>
          <w:rFonts w:hint="eastAsia" w:ascii="仿宋_GB2312" w:hAnsi="仿宋_GB2312" w:eastAsia="仿宋_GB2312" w:cs="仿宋_GB2312"/>
          <w:color w:val="auto"/>
          <w:sz w:val="32"/>
          <w:szCs w:val="32"/>
          <w:highlight w:val="none"/>
          <w:shd w:val="clear"/>
          <w:lang w:val="en-US" w:eastAsia="zh-CN"/>
        </w:rPr>
        <w:t>万千瓦时。</w:t>
      </w:r>
      <w:r>
        <w:rPr>
          <w:rFonts w:hint="eastAsia" w:ascii="仿宋_GB2312" w:hAnsi="仿宋_GB2312" w:eastAsia="仿宋_GB2312" w:cs="仿宋_GB2312"/>
          <w:b/>
          <w:bCs/>
          <w:color w:val="auto"/>
          <w:sz w:val="32"/>
          <w:szCs w:val="32"/>
          <w:highlight w:val="none"/>
          <w:shd w:val="clear"/>
          <w:lang w:val="en-US" w:eastAsia="zh-CN"/>
        </w:rPr>
        <w:t>三是</w:t>
      </w:r>
      <w:r>
        <w:rPr>
          <w:rFonts w:hint="eastAsia" w:ascii="仿宋_GB2312" w:hAnsi="仿宋_GB2312" w:eastAsia="仿宋_GB2312" w:cs="仿宋_GB2312"/>
          <w:b/>
          <w:bCs/>
          <w:color w:val="auto"/>
          <w:sz w:val="32"/>
          <w:szCs w:val="32"/>
          <w:highlight w:val="none"/>
          <w:shd w:val="clear"/>
        </w:rPr>
        <w:t>打造“健康生活目的地牌”。</w:t>
      </w:r>
      <w:r>
        <w:rPr>
          <w:rFonts w:hint="eastAsia" w:ascii="仿宋_GB2312" w:hAnsi="仿宋_GB2312" w:eastAsia="仿宋_GB2312" w:cs="仿宋_GB2312"/>
          <w:color w:val="auto"/>
          <w:sz w:val="32"/>
          <w:szCs w:val="32"/>
          <w:highlight w:val="none"/>
          <w:shd w:val="clear"/>
        </w:rPr>
        <w:t>主动融入“8字型”大滇西旅游环线和澜沧江沿岸休闲旅游示范区建设。</w:t>
      </w:r>
      <w:r>
        <w:rPr>
          <w:rFonts w:hint="eastAsia" w:ascii="仿宋_GB2312" w:hAnsi="仿宋_GB2312" w:eastAsia="仿宋_GB2312" w:cs="仿宋_GB2312"/>
          <w:color w:val="auto"/>
          <w:sz w:val="32"/>
          <w:szCs w:val="32"/>
          <w:highlight w:val="none"/>
          <w:shd w:val="clear"/>
          <w:lang w:val="en-US" w:eastAsia="zh-CN"/>
        </w:rPr>
        <w:t>重点打造12个乡村旅游示范村、3条精品旅游环线，引导“精品民宿”业态发展。</w:t>
      </w:r>
      <w:r>
        <w:rPr>
          <w:rFonts w:hint="eastAsia" w:ascii="仿宋_GB2312" w:hAnsi="仿宋_GB2312" w:eastAsia="仿宋_GB2312" w:cs="仿宋_GB2312"/>
          <w:b w:val="0"/>
          <w:bCs w:val="0"/>
          <w:color w:val="auto"/>
          <w:sz w:val="32"/>
          <w:szCs w:val="32"/>
          <w:highlight w:val="none"/>
          <w:lang w:val="en-US" w:eastAsia="zh-CN"/>
        </w:rPr>
        <w:t>累计创建A级景区7个，其中，AA级2个，AAA级5个。建成乡村旅游目的地34个，特色乡村旅游点200余个。实现乡村旅游总收入22.94亿元，增长16%</w:t>
      </w:r>
      <w:r>
        <w:rPr>
          <w:rFonts w:hint="eastAsia" w:ascii="仿宋_GB2312" w:hAnsi="仿宋_GB2312" w:eastAsia="仿宋_GB2312" w:cs="仿宋_GB2312"/>
          <w:color w:val="auto"/>
          <w:sz w:val="32"/>
          <w:szCs w:val="32"/>
          <w:highlight w:val="none"/>
          <w:shd w:val="clear"/>
          <w:lang w:val="en-US" w:eastAsia="zh-CN"/>
        </w:rPr>
        <w:t>。</w:t>
      </w:r>
      <w:r>
        <w:rPr>
          <w:rFonts w:hint="eastAsia" w:ascii="仿宋_GB2312" w:hAnsi="仿宋_GB2312" w:eastAsia="仿宋_GB2312" w:cs="仿宋_GB2312"/>
          <w:color w:val="auto"/>
          <w:sz w:val="32"/>
          <w:szCs w:val="32"/>
          <w:u w:val="none"/>
          <w:shd w:val="clear" w:color="auto" w:fill="auto"/>
          <w:lang w:val="en-US" w:eastAsia="zh-CN"/>
        </w:rPr>
        <w:t>博尚镇、碗窑村申报为“云南省旅游名镇”和“云南省旅游名村”</w:t>
      </w:r>
      <w:r>
        <w:rPr>
          <w:rFonts w:hint="eastAsia" w:ascii="仿宋_GB2312" w:hAnsi="仿宋_GB2312" w:eastAsia="仿宋_GB2312" w:cs="仿宋_GB2312"/>
          <w:color w:val="auto"/>
          <w:sz w:val="32"/>
          <w:szCs w:val="32"/>
          <w:highlight w:val="none"/>
          <w:shd w:val="clear"/>
          <w:lang w:val="en-US" w:eastAsia="zh-CN"/>
        </w:rPr>
        <w:t>。</w:t>
      </w:r>
      <w:r>
        <w:rPr>
          <w:rFonts w:hint="eastAsia" w:ascii="仿宋_GB2312" w:hAnsi="仿宋_GB2312" w:eastAsia="仿宋_GB2312" w:cs="仿宋_GB2312"/>
          <w:color w:val="auto"/>
          <w:sz w:val="32"/>
          <w:szCs w:val="32"/>
          <w:highlight w:val="none"/>
        </w:rPr>
        <w:t>重点推进滇龙胆、茯苓、滇重楼</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三七</w:t>
      </w:r>
      <w:r>
        <w:rPr>
          <w:rFonts w:hint="eastAsia" w:ascii="仿宋_GB2312" w:hAnsi="仿宋_GB2312" w:eastAsia="仿宋_GB2312" w:cs="仿宋_GB2312"/>
          <w:color w:val="auto"/>
          <w:sz w:val="32"/>
          <w:szCs w:val="32"/>
          <w:highlight w:val="none"/>
        </w:rPr>
        <w:t>等中药材品种规模化发展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小道河中药材种植列入国家第五批林下经济示范基地。</w:t>
      </w:r>
      <w:r>
        <w:rPr>
          <w:rFonts w:hint="eastAsia" w:ascii="仿宋_GB2312" w:hAnsi="仿宋_GB2312" w:eastAsia="仿宋_GB2312" w:cs="仿宋_GB2312"/>
          <w:color w:val="auto"/>
          <w:sz w:val="32"/>
          <w:szCs w:val="32"/>
        </w:rPr>
        <w:t>累计</w:t>
      </w:r>
      <w:r>
        <w:rPr>
          <w:rFonts w:hint="eastAsia" w:ascii="仿宋_GB2312" w:hAnsi="仿宋_GB2312" w:eastAsia="仿宋_GB2312" w:cs="仿宋_GB2312"/>
          <w:color w:val="auto"/>
          <w:sz w:val="32"/>
          <w:szCs w:val="32"/>
          <w:lang w:val="en-US" w:eastAsia="zh-CN"/>
        </w:rPr>
        <w:t>建成</w:t>
      </w:r>
      <w:r>
        <w:rPr>
          <w:rFonts w:hint="eastAsia" w:ascii="仿宋_GB2312" w:hAnsi="仿宋_GB2312" w:eastAsia="仿宋_GB2312" w:cs="仿宋_GB2312"/>
          <w:color w:val="auto"/>
          <w:sz w:val="32"/>
          <w:szCs w:val="32"/>
        </w:rPr>
        <w:t>中药材良种繁殖基地</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个2028亩，中药材</w:t>
      </w:r>
      <w:r>
        <w:rPr>
          <w:rFonts w:hint="eastAsia" w:ascii="仿宋_GB2312" w:hAnsi="仿宋_GB2312" w:eastAsia="仿宋_GB2312" w:cs="仿宋_GB2312"/>
          <w:color w:val="auto"/>
          <w:sz w:val="32"/>
          <w:szCs w:val="32"/>
          <w:lang w:val="en-US" w:eastAsia="zh-CN"/>
        </w:rPr>
        <w:t>种植</w:t>
      </w:r>
      <w:r>
        <w:rPr>
          <w:rFonts w:hint="eastAsia" w:ascii="仿宋_GB2312" w:hAnsi="仿宋_GB2312" w:eastAsia="仿宋_GB2312" w:cs="仿宋_GB2312"/>
          <w:color w:val="auto"/>
          <w:sz w:val="32"/>
          <w:szCs w:val="32"/>
        </w:rPr>
        <w:t>6.19万亩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综合产值达0.95亿元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lang w:val="en-US" w:eastAsia="zh-CN"/>
        </w:rPr>
        <w:t>四是服务业较快复苏。</w:t>
      </w:r>
      <w:r>
        <w:rPr>
          <w:rFonts w:hint="eastAsia" w:ascii="仿宋_GB2312" w:hAnsi="仿宋_GB2312" w:eastAsia="仿宋_GB2312" w:cs="仿宋_GB2312"/>
          <w:color w:val="auto"/>
          <w:sz w:val="32"/>
          <w:szCs w:val="32"/>
          <w:lang w:val="en-US" w:eastAsia="zh-CN"/>
        </w:rPr>
        <w:t>积极培育消费市场，打通城乡消费制约瓶颈，充分挖掘潜力，深入开展调研和企业帮扶服务，培育发展壮大限上企业销售业绩。批发业营业额增长4.9%；零售业销售额增长19.6%；住宿业营业额增长24.8%；餐饮业营业额增长13.2%。</w:t>
      </w:r>
      <w:r>
        <w:rPr>
          <w:rFonts w:hint="eastAsia" w:ascii="仿宋_GB2312" w:hAnsi="仿宋_GB2312" w:eastAsia="仿宋_GB2312" w:cs="仿宋_GB2312"/>
          <w:b/>
          <w:bCs/>
          <w:color w:val="auto"/>
          <w:sz w:val="32"/>
          <w:szCs w:val="32"/>
          <w:highlight w:val="none"/>
          <w:lang w:val="en-US" w:eastAsia="zh-CN"/>
        </w:rPr>
        <w:t>五是房地产业发展平稳。</w:t>
      </w:r>
      <w:r>
        <w:rPr>
          <w:rFonts w:hint="eastAsia" w:ascii="仿宋_GB2312" w:hAnsi="仿宋_GB2312" w:eastAsia="仿宋_GB2312" w:cs="仿宋_GB2312"/>
          <w:color w:val="auto"/>
          <w:sz w:val="32"/>
          <w:szCs w:val="32"/>
          <w:lang w:val="en-US" w:eastAsia="zh-CN"/>
        </w:rPr>
        <w:t>完成</w:t>
      </w:r>
      <w:r>
        <w:rPr>
          <w:rFonts w:hint="eastAsia" w:ascii="仿宋_GB2312" w:hAnsi="仿宋_GB2312" w:eastAsia="仿宋_GB2312" w:cs="仿宋_GB2312"/>
          <w:b w:val="0"/>
          <w:bCs w:val="0"/>
          <w:color w:val="auto"/>
          <w:sz w:val="32"/>
          <w:szCs w:val="32"/>
        </w:rPr>
        <w:t>商品房（含期房、现房）销售</w:t>
      </w:r>
      <w:r>
        <w:rPr>
          <w:rFonts w:hint="eastAsia" w:ascii="仿宋_GB2312" w:hAnsi="仿宋_GB2312" w:eastAsia="仿宋_GB2312" w:cs="仿宋_GB2312"/>
          <w:b w:val="0"/>
          <w:bCs w:val="0"/>
          <w:color w:val="auto"/>
          <w:sz w:val="32"/>
          <w:szCs w:val="32"/>
          <w:lang w:val="en-US" w:eastAsia="zh-CN"/>
        </w:rPr>
        <w:t>面积72.73万平方米，增长6.7%；</w:t>
      </w:r>
      <w:r>
        <w:rPr>
          <w:rFonts w:hint="eastAsia" w:ascii="仿宋_GB2312" w:hAnsi="仿宋_GB2312" w:eastAsia="仿宋_GB2312" w:cs="仿宋_GB2312"/>
          <w:b w:val="0"/>
          <w:bCs w:val="0"/>
          <w:color w:val="auto"/>
          <w:sz w:val="32"/>
          <w:szCs w:val="32"/>
        </w:rPr>
        <w:t>房地产工资总额增速</w:t>
      </w:r>
      <w:r>
        <w:rPr>
          <w:rFonts w:hint="eastAsia" w:ascii="仿宋_GB2312" w:hAnsi="仿宋_GB2312" w:eastAsia="仿宋_GB2312" w:cs="仿宋_GB2312"/>
          <w:b w:val="0"/>
          <w:bCs w:val="0"/>
          <w:color w:val="auto"/>
          <w:sz w:val="32"/>
          <w:szCs w:val="32"/>
          <w:lang w:val="en-US" w:eastAsia="zh-CN"/>
        </w:rPr>
        <w:t>增长25%；年内新注册或迁注资质以上建筑企业15户；完成</w:t>
      </w:r>
      <w:r>
        <w:rPr>
          <w:rFonts w:hint="eastAsia" w:ascii="仿宋_GB2312" w:hAnsi="仿宋_GB2312" w:eastAsia="仿宋_GB2312" w:cs="仿宋_GB2312"/>
          <w:b w:val="0"/>
          <w:bCs w:val="0"/>
          <w:color w:val="auto"/>
          <w:sz w:val="32"/>
          <w:szCs w:val="32"/>
        </w:rPr>
        <w:t>注册地总专包企业总产值</w:t>
      </w:r>
      <w:r>
        <w:rPr>
          <w:rFonts w:hint="eastAsia" w:ascii="仿宋_GB2312" w:hAnsi="仿宋_GB2312" w:eastAsia="仿宋_GB2312" w:cs="仿宋_GB2312"/>
          <w:b w:val="0"/>
          <w:bCs w:val="0"/>
          <w:color w:val="auto"/>
          <w:sz w:val="32"/>
          <w:szCs w:val="32"/>
          <w:lang w:val="en-US" w:eastAsia="zh-CN"/>
        </w:rPr>
        <w:t>49.67亿元，增长25.3%。</w:t>
      </w:r>
      <w:r>
        <w:rPr>
          <w:rFonts w:hint="eastAsia" w:ascii="仿宋_GB2312" w:hAnsi="仿宋_GB2312" w:eastAsia="仿宋_GB2312" w:cs="仿宋_GB2312"/>
          <w:b/>
          <w:bCs/>
          <w:color w:val="auto"/>
          <w:sz w:val="32"/>
          <w:szCs w:val="32"/>
          <w:highlight w:val="none"/>
          <w:lang w:val="en-US" w:eastAsia="zh-CN"/>
        </w:rPr>
        <w:t>六</w:t>
      </w:r>
      <w:r>
        <w:rPr>
          <w:rFonts w:hint="eastAsia" w:ascii="仿宋_GB2312" w:hAnsi="仿宋_GB2312" w:eastAsia="仿宋_GB2312" w:cs="仿宋_GB2312"/>
          <w:b/>
          <w:bCs/>
          <w:color w:val="auto"/>
          <w:kern w:val="2"/>
          <w:sz w:val="32"/>
          <w:szCs w:val="32"/>
          <w:highlight w:val="none"/>
          <w:shd w:val="clear"/>
          <w:lang w:val="en-US" w:eastAsia="zh-CN" w:bidi="ar-SA"/>
        </w:rPr>
        <w:t>是构建数字经济体系。</w:t>
      </w:r>
      <w:r>
        <w:rPr>
          <w:rFonts w:hint="eastAsia" w:ascii="仿宋_GB2312" w:hAnsi="仿宋_GB2312" w:eastAsia="仿宋_GB2312" w:cs="仿宋_GB2312"/>
          <w:color w:val="auto"/>
          <w:sz w:val="32"/>
          <w:szCs w:val="32"/>
        </w:rPr>
        <w:t>全力推进“数字临翔”建设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highlight w:val="none"/>
          <w:shd w:val="clear"/>
          <w:lang w:val="en-US" w:eastAsia="zh-CN"/>
        </w:rPr>
        <w:t>实现4G网络乡村覆盖率达100%；建成</w:t>
      </w:r>
      <w:r>
        <w:rPr>
          <w:rFonts w:hint="eastAsia" w:ascii="仿宋_GB2312" w:hAnsi="仿宋_GB2312" w:eastAsia="仿宋_GB2312" w:cs="仿宋_GB2312"/>
          <w:color w:val="auto"/>
          <w:sz w:val="32"/>
          <w:szCs w:val="32"/>
          <w:highlight w:val="none"/>
          <w:shd w:val="clear"/>
        </w:rPr>
        <w:t>5G基站</w:t>
      </w:r>
      <w:r>
        <w:rPr>
          <w:rFonts w:hint="eastAsia" w:ascii="仿宋_GB2312" w:hAnsi="仿宋_GB2312" w:eastAsia="仿宋_GB2312" w:cs="仿宋_GB2312"/>
          <w:color w:val="auto"/>
          <w:sz w:val="32"/>
          <w:szCs w:val="32"/>
          <w:highlight w:val="none"/>
          <w:shd w:val="clear"/>
          <w:lang w:val="en-US" w:eastAsia="zh-CN"/>
        </w:rPr>
        <w:t>466</w:t>
      </w:r>
      <w:r>
        <w:rPr>
          <w:rFonts w:hint="eastAsia" w:ascii="仿宋_GB2312" w:hAnsi="仿宋_GB2312" w:eastAsia="仿宋_GB2312" w:cs="仿宋_GB2312"/>
          <w:color w:val="auto"/>
          <w:sz w:val="32"/>
          <w:szCs w:val="32"/>
          <w:highlight w:val="none"/>
          <w:shd w:val="clear"/>
        </w:rPr>
        <w:t>座，</w:t>
      </w:r>
      <w:r>
        <w:rPr>
          <w:rFonts w:hint="eastAsia" w:ascii="仿宋_GB2312" w:hAnsi="仿宋_GB2312" w:eastAsia="仿宋_GB2312" w:cs="仿宋_GB2312"/>
          <w:i w:val="0"/>
          <w:caps w:val="0"/>
          <w:color w:val="auto"/>
          <w:spacing w:val="0"/>
          <w:sz w:val="32"/>
          <w:szCs w:val="32"/>
          <w:highlight w:val="none"/>
          <w:shd w:val="clear" w:fill="auto"/>
        </w:rPr>
        <w:t>实现</w:t>
      </w:r>
      <w:r>
        <w:rPr>
          <w:rFonts w:hint="eastAsia" w:ascii="仿宋_GB2312" w:hAnsi="仿宋_GB2312" w:eastAsia="仿宋_GB2312" w:cs="仿宋_GB2312"/>
          <w:i w:val="0"/>
          <w:caps w:val="0"/>
          <w:color w:val="auto"/>
          <w:spacing w:val="0"/>
          <w:sz w:val="32"/>
          <w:szCs w:val="32"/>
          <w:highlight w:val="none"/>
          <w:shd w:val="clear"/>
          <w:lang w:val="en-US" w:eastAsia="zh-CN"/>
        </w:rPr>
        <w:t>党政机构</w:t>
      </w:r>
      <w:r>
        <w:rPr>
          <w:rFonts w:hint="eastAsia" w:ascii="仿宋_GB2312" w:hAnsi="仿宋_GB2312" w:eastAsia="仿宋_GB2312" w:cs="仿宋_GB2312"/>
          <w:i w:val="0"/>
          <w:caps w:val="0"/>
          <w:color w:val="auto"/>
          <w:spacing w:val="0"/>
          <w:sz w:val="32"/>
          <w:szCs w:val="32"/>
          <w:highlight w:val="none"/>
          <w:shd w:val="clear" w:fill="auto"/>
        </w:rPr>
        <w:t>、教育、医疗、交通枢纽等重点区域</w:t>
      </w:r>
      <w:r>
        <w:rPr>
          <w:rFonts w:hint="eastAsia" w:ascii="仿宋_GB2312" w:hAnsi="仿宋_GB2312" w:eastAsia="仿宋_GB2312" w:cs="仿宋_GB2312"/>
          <w:i w:val="0"/>
          <w:caps w:val="0"/>
          <w:color w:val="auto"/>
          <w:spacing w:val="0"/>
          <w:sz w:val="32"/>
          <w:szCs w:val="32"/>
          <w:highlight w:val="none"/>
          <w:shd w:val="clear" w:fill="auto"/>
          <w:lang w:eastAsia="zh-CN"/>
        </w:rPr>
        <w:t>全</w:t>
      </w:r>
      <w:r>
        <w:rPr>
          <w:rFonts w:hint="eastAsia" w:ascii="仿宋_GB2312" w:hAnsi="仿宋_GB2312" w:eastAsia="仿宋_GB2312" w:cs="仿宋_GB2312"/>
          <w:i w:val="0"/>
          <w:caps w:val="0"/>
          <w:color w:val="auto"/>
          <w:spacing w:val="0"/>
          <w:sz w:val="32"/>
          <w:szCs w:val="32"/>
          <w:highlight w:val="none"/>
          <w:shd w:val="clear" w:fill="auto"/>
        </w:rPr>
        <w:t>覆盖</w:t>
      </w:r>
      <w:r>
        <w:rPr>
          <w:rFonts w:hint="eastAsia" w:ascii="仿宋_GB2312" w:hAnsi="仿宋_GB2312" w:eastAsia="仿宋_GB2312" w:cs="仿宋_GB2312"/>
          <w:i w:val="0"/>
          <w:caps w:val="0"/>
          <w:color w:val="auto"/>
          <w:spacing w:val="0"/>
          <w:sz w:val="32"/>
          <w:szCs w:val="32"/>
          <w:highlight w:val="none"/>
          <w:shd w:val="clear" w:fill="auto"/>
          <w:lang w:eastAsia="zh-CN"/>
        </w:rPr>
        <w:t>；</w:t>
      </w:r>
      <w:r>
        <w:rPr>
          <w:rFonts w:hint="eastAsia" w:ascii="仿宋_GB2312" w:hAnsi="仿宋_GB2312" w:eastAsia="仿宋_GB2312" w:cs="仿宋_GB2312"/>
          <w:color w:val="auto"/>
          <w:sz w:val="32"/>
          <w:szCs w:val="32"/>
          <w:highlight w:val="none"/>
          <w:shd w:val="clear"/>
        </w:rPr>
        <w:t>数字化城市管理指挥中心</w:t>
      </w:r>
      <w:r>
        <w:rPr>
          <w:rFonts w:hint="eastAsia" w:ascii="仿宋_GB2312" w:hAnsi="仿宋_GB2312" w:eastAsia="仿宋_GB2312" w:cs="仿宋_GB2312"/>
          <w:color w:val="auto"/>
          <w:sz w:val="32"/>
          <w:szCs w:val="32"/>
          <w:highlight w:val="none"/>
          <w:shd w:val="clear"/>
          <w:lang w:eastAsia="zh-CN"/>
        </w:rPr>
        <w:t>投入使用，建成</w:t>
      </w:r>
      <w:r>
        <w:rPr>
          <w:rFonts w:hint="eastAsia" w:ascii="仿宋_GB2312" w:hAnsi="仿宋_GB2312" w:eastAsia="仿宋_GB2312" w:cs="仿宋_GB2312"/>
          <w:color w:val="auto"/>
          <w:sz w:val="32"/>
          <w:szCs w:val="32"/>
          <w:highlight w:val="none"/>
          <w:shd w:val="clear"/>
        </w:rPr>
        <w:t>智慧停车桩</w:t>
      </w:r>
      <w:r>
        <w:rPr>
          <w:rFonts w:hint="eastAsia" w:ascii="仿宋_GB2312" w:hAnsi="仿宋_GB2312" w:eastAsia="仿宋_GB2312" w:cs="仿宋_GB2312"/>
          <w:color w:val="auto"/>
          <w:sz w:val="32"/>
          <w:szCs w:val="32"/>
          <w:highlight w:val="none"/>
          <w:shd w:val="clear"/>
          <w:lang w:val="en-US" w:eastAsia="zh-CN"/>
        </w:rPr>
        <w:t>2157</w:t>
      </w:r>
      <w:r>
        <w:rPr>
          <w:rFonts w:hint="eastAsia" w:ascii="仿宋_GB2312" w:hAnsi="仿宋_GB2312" w:eastAsia="仿宋_GB2312" w:cs="仿宋_GB2312"/>
          <w:color w:val="auto"/>
          <w:sz w:val="32"/>
          <w:szCs w:val="32"/>
          <w:highlight w:val="none"/>
          <w:shd w:val="clear"/>
        </w:rPr>
        <w:t>个</w:t>
      </w:r>
      <w:r>
        <w:rPr>
          <w:rFonts w:hint="eastAsia" w:ascii="仿宋_GB2312" w:hAnsi="仿宋_GB2312" w:eastAsia="仿宋_GB2312" w:cs="仿宋_GB2312"/>
          <w:color w:val="auto"/>
          <w:sz w:val="32"/>
          <w:szCs w:val="32"/>
          <w:highlight w:val="none"/>
          <w:shd w:val="clear"/>
          <w:lang w:val="en-US" w:eastAsia="zh-CN"/>
        </w:rPr>
        <w:t>、</w:t>
      </w:r>
      <w:r>
        <w:rPr>
          <w:rFonts w:hint="eastAsia" w:ascii="仿宋_GB2312" w:hAnsi="仿宋_GB2312" w:eastAsia="仿宋_GB2312" w:cs="仿宋_GB2312"/>
          <w:color w:val="auto"/>
          <w:sz w:val="32"/>
          <w:szCs w:val="32"/>
          <w:highlight w:val="none"/>
          <w:shd w:val="clear"/>
        </w:rPr>
        <w:t>智慧安防小区32个</w:t>
      </w:r>
      <w:r>
        <w:rPr>
          <w:rFonts w:hint="eastAsia" w:ascii="仿宋_GB2312" w:hAnsi="仿宋_GB2312" w:eastAsia="仿宋_GB2312" w:cs="仿宋_GB2312"/>
          <w:color w:val="auto"/>
          <w:sz w:val="32"/>
          <w:szCs w:val="32"/>
          <w:highlight w:val="none"/>
          <w:shd w:val="clear"/>
          <w:lang w:eastAsia="zh-CN"/>
        </w:rPr>
        <w:t>。</w:t>
      </w:r>
    </w:p>
    <w:p>
      <w:pPr>
        <w:keepNext w:val="0"/>
        <w:keepLines w:val="0"/>
        <w:pageBreakBefore w:val="0"/>
        <w:widowControl w:val="0"/>
        <w:numPr>
          <w:ilvl w:val="0"/>
          <w:numId w:val="0"/>
        </w:numPr>
        <w:suppressLineNumbers w:val="0"/>
        <w:pBdr>
          <w:bottom w:val="single" w:color="FFFFFF" w:sz="4" w:space="28"/>
        </w:pBdr>
        <w:kinsoku/>
        <w:wordWrap/>
        <w:overflowPunct/>
        <w:topLinePunct w:val="0"/>
        <w:autoSpaceDN/>
        <w:bidi w:val="0"/>
        <w:spacing w:line="560" w:lineRule="exact"/>
        <w:ind w:firstLine="643" w:firstLineChars="200"/>
        <w:jc w:val="both"/>
        <w:textAlignment w:val="baseline"/>
        <w:outlineLvl w:val="9"/>
        <w:rPr>
          <w:rFonts w:hint="eastAsia" w:ascii="仿宋_GB2312" w:hAnsi="仿宋_GB2312" w:eastAsia="仿宋_GB2312" w:cs="仿宋_GB2312"/>
          <w:color w:val="auto"/>
          <w:kern w:val="2"/>
          <w:sz w:val="32"/>
          <w:szCs w:val="32"/>
          <w:highlight w:val="none"/>
          <w:lang w:eastAsia="zh-CN" w:bidi="ar"/>
        </w:rPr>
      </w:pPr>
      <w:r>
        <w:rPr>
          <w:rFonts w:hint="eastAsia" w:ascii="楷体_GB2312" w:hAnsi="楷体_GB2312" w:eastAsia="楷体_GB2312" w:cs="楷体_GB2312"/>
          <w:b/>
          <w:bCs/>
          <w:color w:val="auto"/>
          <w:kern w:val="0"/>
          <w:sz w:val="32"/>
          <w:szCs w:val="32"/>
          <w:highlight w:val="none"/>
          <w:shd w:val="clear"/>
          <w:lang w:val="en-US" w:eastAsia="zh-CN" w:bidi="ar"/>
        </w:rPr>
        <w:t>（五）城乡融合发展加快推进。</w:t>
      </w:r>
      <w:r>
        <w:rPr>
          <w:rFonts w:hint="eastAsia" w:ascii="仿宋_GB2312" w:hAnsi="仿宋_GB2312" w:eastAsia="仿宋_GB2312" w:cs="仿宋_GB2312"/>
          <w:b w:val="0"/>
          <w:bCs w:val="0"/>
          <w:color w:val="auto"/>
          <w:sz w:val="32"/>
          <w:szCs w:val="32"/>
          <w:highlight w:val="none"/>
          <w:shd w:val="clear"/>
          <w:lang w:val="en-US" w:eastAsia="zh-CN"/>
        </w:rPr>
        <w:t>全力推进工业化、城镇化、农业现代化建设，推进城乡融合发展。</w:t>
      </w:r>
      <w:r>
        <w:rPr>
          <w:rFonts w:hint="eastAsia" w:ascii="仿宋_GB2312" w:hAnsi="仿宋_GB2312" w:eastAsia="仿宋_GB2312" w:cs="仿宋_GB2312"/>
          <w:b/>
          <w:bCs/>
          <w:color w:val="auto"/>
          <w:sz w:val="32"/>
          <w:szCs w:val="32"/>
          <w:highlight w:val="none"/>
          <w:shd w:val="clear"/>
          <w:lang w:val="en-US" w:eastAsia="zh-CN"/>
        </w:rPr>
        <w:t>工业经济稳步发展。</w:t>
      </w:r>
      <w:r>
        <w:rPr>
          <w:rFonts w:hint="eastAsia" w:ascii="仿宋_GB2312" w:hAnsi="仿宋_GB2312" w:eastAsia="仿宋_GB2312" w:cs="仿宋_GB2312"/>
          <w:b/>
          <w:bCs/>
          <w:color w:val="auto"/>
          <w:sz w:val="32"/>
          <w:szCs w:val="32"/>
          <w:highlight w:val="none"/>
          <w:shd w:val="clear"/>
          <w:lang w:eastAsia="zh-CN"/>
        </w:rPr>
        <w:t>一是</w:t>
      </w:r>
      <w:r>
        <w:rPr>
          <w:rFonts w:hint="eastAsia" w:ascii="仿宋_GB2312" w:hAnsi="仿宋_GB2312" w:eastAsia="仿宋_GB2312" w:cs="仿宋_GB2312"/>
          <w:b w:val="0"/>
          <w:bCs w:val="0"/>
          <w:color w:val="auto"/>
          <w:sz w:val="32"/>
          <w:szCs w:val="32"/>
          <w:highlight w:val="none"/>
          <w:shd w:val="clear"/>
          <w:lang w:eastAsia="zh-CN"/>
        </w:rPr>
        <w:t>持</w:t>
      </w:r>
      <w:r>
        <w:rPr>
          <w:rFonts w:hint="eastAsia" w:ascii="仿宋_GB2312" w:hAnsi="仿宋_GB2312" w:eastAsia="仿宋_GB2312" w:cs="仿宋_GB2312"/>
          <w:color w:val="auto"/>
          <w:sz w:val="32"/>
          <w:szCs w:val="32"/>
          <w:highlight w:val="none"/>
          <w:shd w:val="clear"/>
        </w:rPr>
        <w:t>续推进新型工业化三年攻坚行动，加快构建高原特色农产品加工业、新兴产业、进出口加工业和数字经济深度融合的“3＋1”现代</w:t>
      </w:r>
      <w:r>
        <w:rPr>
          <w:rFonts w:hint="eastAsia" w:ascii="仿宋_GB2312" w:hAnsi="仿宋_GB2312" w:eastAsia="仿宋_GB2312" w:cs="仿宋_GB2312"/>
          <w:color w:val="auto"/>
          <w:sz w:val="32"/>
          <w:szCs w:val="32"/>
          <w:highlight w:val="none"/>
          <w:shd w:val="clear"/>
          <w:lang w:val="en-US" w:eastAsia="zh-CN"/>
        </w:rPr>
        <w:t>工业化</w:t>
      </w:r>
      <w:r>
        <w:rPr>
          <w:rFonts w:hint="eastAsia" w:ascii="仿宋_GB2312" w:hAnsi="仿宋_GB2312" w:eastAsia="仿宋_GB2312" w:cs="仿宋_GB2312"/>
          <w:color w:val="auto"/>
          <w:sz w:val="32"/>
          <w:szCs w:val="32"/>
          <w:highlight w:val="none"/>
          <w:shd w:val="clear"/>
        </w:rPr>
        <w:t>产业体系。</w:t>
      </w:r>
      <w:r>
        <w:rPr>
          <w:rFonts w:hint="eastAsia" w:ascii="仿宋_GB2312" w:hAnsi="仿宋_GB2312" w:eastAsia="仿宋_GB2312" w:cs="仿宋_GB2312"/>
          <w:b/>
          <w:bCs/>
          <w:color w:val="auto"/>
          <w:sz w:val="32"/>
          <w:szCs w:val="32"/>
          <w:highlight w:val="none"/>
          <w:shd w:val="clear"/>
          <w:lang w:val="en-US" w:eastAsia="zh-CN"/>
        </w:rPr>
        <w:t>二是</w:t>
      </w:r>
      <w:r>
        <w:rPr>
          <w:rFonts w:hint="eastAsia" w:ascii="仿宋_GB2312" w:hAnsi="仿宋_GB2312" w:eastAsia="仿宋_GB2312" w:cs="仿宋_GB2312"/>
          <w:color w:val="auto"/>
          <w:sz w:val="32"/>
          <w:szCs w:val="32"/>
          <w:highlight w:val="none"/>
          <w:lang w:eastAsia="zh-CN"/>
        </w:rPr>
        <w:t>制定《临翔区工业经济发展工作方案》，与市工业园区经发局建立每月联席工作会议机制，</w:t>
      </w:r>
      <w:r>
        <w:rPr>
          <w:rFonts w:hint="eastAsia" w:ascii="仿宋_GB2312" w:hAnsi="仿宋_GB2312" w:eastAsia="仿宋_GB2312" w:cs="仿宋_GB2312"/>
          <w:color w:val="auto"/>
          <w:sz w:val="32"/>
          <w:szCs w:val="32"/>
          <w:highlight w:val="none"/>
          <w:lang w:val="en-US" w:eastAsia="zh-CN"/>
        </w:rPr>
        <w:t>组建</w:t>
      </w:r>
      <w:r>
        <w:rPr>
          <w:rFonts w:hint="eastAsia" w:ascii="仿宋_GB2312" w:hAnsi="仿宋_GB2312" w:eastAsia="仿宋_GB2312" w:cs="仿宋_GB2312"/>
          <w:color w:val="auto"/>
          <w:sz w:val="32"/>
          <w:szCs w:val="32"/>
          <w:highlight w:val="none"/>
          <w:lang w:eastAsia="zh-CN"/>
        </w:rPr>
        <w:t>专班</w:t>
      </w:r>
      <w:r>
        <w:rPr>
          <w:rFonts w:hint="eastAsia" w:ascii="仿宋_GB2312" w:hAnsi="仿宋_GB2312" w:eastAsia="仿宋_GB2312" w:cs="仿宋_GB2312"/>
          <w:color w:val="auto"/>
          <w:sz w:val="32"/>
          <w:szCs w:val="32"/>
          <w:highlight w:val="none"/>
          <w:lang w:val="en-US" w:eastAsia="zh-CN"/>
        </w:rPr>
        <w:t>深入企业开展调研，主动服务“两高”企业落实整改。</w:t>
      </w:r>
      <w:r>
        <w:rPr>
          <w:rFonts w:hint="eastAsia" w:ascii="仿宋_GB2312" w:hAnsi="仿宋_GB2312" w:eastAsia="仿宋_GB2312" w:cs="仿宋_GB2312"/>
          <w:b/>
          <w:bCs/>
          <w:color w:val="auto"/>
          <w:sz w:val="32"/>
          <w:szCs w:val="32"/>
          <w:highlight w:val="none"/>
          <w:lang w:val="en-US" w:eastAsia="zh-CN"/>
        </w:rPr>
        <w:t>三是</w:t>
      </w:r>
      <w:r>
        <w:rPr>
          <w:rFonts w:hint="eastAsia" w:ascii="仿宋_GB2312" w:hAnsi="仿宋_GB2312" w:eastAsia="仿宋_GB2312" w:cs="仿宋_GB2312"/>
          <w:color w:val="auto"/>
          <w:sz w:val="32"/>
          <w:szCs w:val="32"/>
          <w:highlight w:val="none"/>
          <w:lang w:val="en-US" w:eastAsia="zh-CN"/>
        </w:rPr>
        <w:t>建立处级领导挂钩重点项目服务机制，</w:t>
      </w:r>
      <w:r>
        <w:rPr>
          <w:rFonts w:hint="eastAsia" w:ascii="仿宋_GB2312" w:hAnsi="仿宋_GB2312" w:eastAsia="仿宋_GB2312" w:cs="仿宋_GB2312"/>
          <w:color w:val="auto"/>
          <w:sz w:val="32"/>
          <w:szCs w:val="32"/>
          <w:highlight w:val="none"/>
          <w:shd w:val="clear"/>
        </w:rPr>
        <w:t>3</w:t>
      </w:r>
      <w:r>
        <w:rPr>
          <w:rFonts w:hint="eastAsia" w:ascii="仿宋_GB2312" w:hAnsi="仿宋_GB2312" w:eastAsia="仿宋_GB2312" w:cs="仿宋_GB2312"/>
          <w:color w:val="auto"/>
          <w:sz w:val="32"/>
          <w:szCs w:val="32"/>
          <w:highlight w:val="none"/>
          <w:shd w:val="clear"/>
          <w:lang w:val="en-US" w:eastAsia="zh-CN"/>
        </w:rPr>
        <w:t>D</w:t>
      </w:r>
      <w:r>
        <w:rPr>
          <w:rFonts w:hint="eastAsia" w:ascii="仿宋_GB2312" w:hAnsi="仿宋_GB2312" w:eastAsia="仿宋_GB2312" w:cs="仿宋_GB2312"/>
          <w:color w:val="auto"/>
          <w:sz w:val="32"/>
          <w:szCs w:val="32"/>
          <w:highlight w:val="none"/>
          <w:shd w:val="clear"/>
        </w:rPr>
        <w:t>陶瓷打印生产车间</w:t>
      </w:r>
      <w:r>
        <w:rPr>
          <w:rFonts w:hint="eastAsia" w:ascii="仿宋_GB2312" w:hAnsi="仿宋_GB2312" w:eastAsia="仿宋_GB2312" w:cs="仿宋_GB2312"/>
          <w:color w:val="auto"/>
          <w:sz w:val="32"/>
          <w:szCs w:val="32"/>
          <w:highlight w:val="none"/>
          <w:shd w:val="clear"/>
          <w:lang w:val="en-US" w:eastAsia="zh-CN"/>
        </w:rPr>
        <w:t>建成并投入运营，</w:t>
      </w:r>
      <w:r>
        <w:rPr>
          <w:rFonts w:hint="eastAsia" w:ascii="仿宋_GB2312" w:hAnsi="仿宋_GB2312" w:eastAsia="仿宋_GB2312" w:cs="仿宋_GB2312"/>
          <w:color w:val="auto"/>
          <w:sz w:val="32"/>
          <w:szCs w:val="32"/>
          <w:highlight w:val="none"/>
        </w:rPr>
        <w:t>进玉木材综合加</w:t>
      </w:r>
      <w:r>
        <w:rPr>
          <w:rFonts w:hint="eastAsia" w:ascii="仿宋_GB2312" w:hAnsi="仿宋_GB2312" w:eastAsia="仿宋_GB2312" w:cs="仿宋_GB2312"/>
          <w:color w:val="auto"/>
          <w:sz w:val="32"/>
          <w:szCs w:val="32"/>
          <w:highlight w:val="none"/>
          <w:lang w:val="en-US" w:eastAsia="zh-CN"/>
        </w:rPr>
        <w:t>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肉</w:t>
      </w:r>
      <w:r>
        <w:rPr>
          <w:rFonts w:hint="eastAsia" w:ascii="仿宋_GB2312" w:hAnsi="仿宋_GB2312" w:eastAsia="仿宋_GB2312" w:cs="仿宋_GB2312"/>
          <w:color w:val="auto"/>
          <w:sz w:val="32"/>
          <w:szCs w:val="32"/>
          <w:highlight w:val="none"/>
        </w:rPr>
        <w:t>食品加工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宏泰饲料</w:t>
      </w:r>
      <w:r>
        <w:rPr>
          <w:rFonts w:hint="eastAsia" w:ascii="仿宋_GB2312" w:hAnsi="仿宋_GB2312" w:eastAsia="仿宋_GB2312" w:cs="仿宋_GB2312"/>
          <w:color w:val="auto"/>
          <w:sz w:val="32"/>
          <w:szCs w:val="32"/>
          <w:highlight w:val="none"/>
          <w:lang w:val="en-US" w:eastAsia="zh-CN"/>
        </w:rPr>
        <w:t>等项目加快推进；</w:t>
      </w:r>
      <w:r>
        <w:rPr>
          <w:rFonts w:hint="eastAsia" w:ascii="仿宋_GB2312" w:hAnsi="仿宋_GB2312" w:eastAsia="仿宋_GB2312" w:cs="仿宋_GB2312"/>
          <w:color w:val="auto"/>
          <w:sz w:val="32"/>
          <w:szCs w:val="32"/>
          <w:highlight w:val="none"/>
        </w:rPr>
        <w:t>马台乡甜笋加工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秸秆综合利用</w:t>
      </w:r>
      <w:r>
        <w:rPr>
          <w:rFonts w:hint="eastAsia" w:ascii="仿宋_GB2312" w:hAnsi="仿宋_GB2312" w:eastAsia="仿宋_GB2312" w:cs="仿宋_GB2312"/>
          <w:color w:val="auto"/>
          <w:sz w:val="32"/>
          <w:szCs w:val="32"/>
          <w:highlight w:val="none"/>
          <w:lang w:val="en-US" w:eastAsia="zh-CN"/>
        </w:rPr>
        <w:t>等项目开工建设。</w:t>
      </w:r>
      <w:r>
        <w:rPr>
          <w:rFonts w:hint="eastAsia" w:ascii="仿宋_GB2312" w:hAnsi="仿宋_GB2312" w:eastAsia="仿宋_GB2312" w:cs="仿宋_GB2312"/>
          <w:b/>
          <w:bCs/>
          <w:color w:val="auto"/>
          <w:sz w:val="32"/>
          <w:szCs w:val="32"/>
          <w:highlight w:val="none"/>
          <w:shd w:val="clear"/>
          <w:lang w:val="en-US" w:eastAsia="zh-CN"/>
        </w:rPr>
        <w:t>四</w:t>
      </w:r>
      <w:r>
        <w:rPr>
          <w:rFonts w:hint="eastAsia" w:ascii="仿宋_GB2312" w:hAnsi="仿宋_GB2312" w:eastAsia="仿宋_GB2312" w:cs="仿宋_GB2312"/>
          <w:b/>
          <w:bCs/>
          <w:color w:val="auto"/>
          <w:sz w:val="32"/>
          <w:szCs w:val="32"/>
          <w:highlight w:val="none"/>
          <w:shd w:val="clear"/>
          <w:lang w:eastAsia="zh-CN"/>
        </w:rPr>
        <w:t>是</w:t>
      </w:r>
      <w:r>
        <w:rPr>
          <w:rFonts w:hint="eastAsia" w:ascii="仿宋_GB2312" w:hAnsi="仿宋_GB2312" w:eastAsia="仿宋_GB2312" w:cs="仿宋_GB2312"/>
          <w:b w:val="0"/>
          <w:bCs w:val="0"/>
          <w:color w:val="auto"/>
          <w:sz w:val="32"/>
          <w:szCs w:val="32"/>
          <w:highlight w:val="none"/>
          <w:shd w:val="clear"/>
          <w:lang w:val="en-US" w:eastAsia="zh-CN"/>
        </w:rPr>
        <w:t>工业发展不断创新，</w:t>
      </w:r>
      <w:r>
        <w:rPr>
          <w:rFonts w:hint="eastAsia" w:ascii="仿宋_GB2312" w:hAnsi="仿宋_GB2312" w:eastAsia="仿宋_GB2312" w:cs="仿宋_GB2312"/>
          <w:color w:val="auto"/>
          <w:sz w:val="32"/>
          <w:szCs w:val="32"/>
          <w:highlight w:val="none"/>
          <w:shd w:val="clear"/>
        </w:rPr>
        <w:t>24户规上企业完成</w:t>
      </w:r>
      <w:r>
        <w:rPr>
          <w:rFonts w:hint="eastAsia" w:ascii="仿宋_GB2312" w:hAnsi="仿宋_GB2312" w:eastAsia="仿宋_GB2312" w:cs="仿宋_GB2312"/>
          <w:color w:val="auto"/>
          <w:sz w:val="32"/>
          <w:szCs w:val="32"/>
          <w:highlight w:val="none"/>
          <w:shd w:val="clear"/>
          <w:lang w:val="en-US" w:eastAsia="zh-CN"/>
        </w:rPr>
        <w:t>搭建</w:t>
      </w:r>
      <w:r>
        <w:rPr>
          <w:rFonts w:hint="eastAsia" w:ascii="仿宋_GB2312" w:hAnsi="仿宋_GB2312" w:eastAsia="仿宋_GB2312" w:cs="仿宋_GB2312"/>
          <w:color w:val="auto"/>
          <w:sz w:val="32"/>
          <w:szCs w:val="32"/>
          <w:highlight w:val="none"/>
          <w:shd w:val="clear"/>
        </w:rPr>
        <w:t>云南两化融合自评</w:t>
      </w:r>
      <w:r>
        <w:rPr>
          <w:rFonts w:hint="eastAsia" w:ascii="仿宋_GB2312" w:hAnsi="仿宋_GB2312" w:eastAsia="仿宋_GB2312" w:cs="仿宋_GB2312"/>
          <w:color w:val="auto"/>
          <w:sz w:val="32"/>
          <w:szCs w:val="32"/>
          <w:highlight w:val="none"/>
          <w:shd w:val="clear"/>
          <w:lang w:val="en-US" w:eastAsia="zh-CN"/>
        </w:rPr>
        <w:t>，</w:t>
      </w:r>
      <w:r>
        <w:rPr>
          <w:rFonts w:hint="eastAsia" w:ascii="仿宋_GB2312" w:hAnsi="仿宋_GB2312" w:eastAsia="仿宋_GB2312" w:cs="仿宋_GB2312"/>
          <w:color w:val="auto"/>
          <w:sz w:val="32"/>
          <w:szCs w:val="32"/>
          <w:highlight w:val="none"/>
          <w:shd w:val="clear"/>
        </w:rPr>
        <w:t>37户中小企业完成云上平台注册登记</w:t>
      </w:r>
      <w:r>
        <w:rPr>
          <w:rFonts w:hint="eastAsia" w:ascii="仿宋_GB2312" w:hAnsi="仿宋_GB2312" w:eastAsia="仿宋_GB2312" w:cs="仿宋_GB2312"/>
          <w:color w:val="auto"/>
          <w:sz w:val="32"/>
          <w:szCs w:val="32"/>
          <w:highlight w:val="none"/>
          <w:shd w:val="clear"/>
          <w:lang w:eastAsia="zh-CN"/>
        </w:rPr>
        <w:t>，</w:t>
      </w:r>
      <w:r>
        <w:rPr>
          <w:rFonts w:hint="eastAsia" w:ascii="仿宋_GB2312" w:hAnsi="仿宋_GB2312" w:eastAsia="仿宋_GB2312" w:cs="仿宋_GB2312"/>
          <w:color w:val="auto"/>
          <w:sz w:val="32"/>
          <w:szCs w:val="32"/>
          <w:highlight w:val="none"/>
          <w:shd w:val="clear"/>
          <w:lang w:val="en-US" w:eastAsia="zh-CN"/>
        </w:rPr>
        <w:t>年内</w:t>
      </w:r>
      <w:r>
        <w:rPr>
          <w:rFonts w:hint="eastAsia" w:ascii="仿宋_GB2312" w:hAnsi="仿宋_GB2312" w:eastAsia="仿宋_GB2312" w:cs="仿宋_GB2312"/>
          <w:color w:val="auto"/>
          <w:sz w:val="32"/>
          <w:szCs w:val="32"/>
          <w:highlight w:val="none"/>
          <w:lang w:val="en-US" w:eastAsia="zh-CN"/>
        </w:rPr>
        <w:t>新培育规上企业7户</w:t>
      </w:r>
      <w:r>
        <w:rPr>
          <w:rFonts w:hint="eastAsia" w:ascii="仿宋_GB2312" w:hAnsi="仿宋_GB2312" w:eastAsia="仿宋_GB2312" w:cs="仿宋_GB2312"/>
          <w:color w:val="auto"/>
          <w:sz w:val="32"/>
          <w:szCs w:val="32"/>
          <w:highlight w:val="none"/>
          <w:shd w:val="clear"/>
          <w:lang w:val="en-US" w:eastAsia="zh-CN"/>
        </w:rPr>
        <w:t>。</w:t>
      </w:r>
      <w:r>
        <w:rPr>
          <w:rFonts w:hint="eastAsia" w:ascii="仿宋_GB2312" w:hAnsi="仿宋_GB2312" w:eastAsia="仿宋_GB2312" w:cs="仿宋_GB2312"/>
          <w:b w:val="0"/>
          <w:i w:val="0"/>
          <w:caps w:val="0"/>
          <w:color w:val="auto"/>
          <w:spacing w:val="0"/>
          <w:w w:val="100"/>
          <w:sz w:val="32"/>
          <w:szCs w:val="32"/>
          <w:highlight w:val="none"/>
          <w:lang w:val="en-US"/>
        </w:rPr>
        <w:t>临</w:t>
      </w:r>
      <w:r>
        <w:rPr>
          <w:rFonts w:hint="eastAsia" w:ascii="仿宋_GB2312" w:hAnsi="仿宋_GB2312" w:eastAsia="仿宋_GB2312" w:cs="仿宋_GB2312"/>
          <w:b w:val="0"/>
          <w:i w:val="0"/>
          <w:caps w:val="0"/>
          <w:color w:val="auto"/>
          <w:spacing w:val="0"/>
          <w:w w:val="100"/>
          <w:sz w:val="32"/>
          <w:szCs w:val="32"/>
          <w:highlight w:val="none"/>
          <w:lang w:val="en-US" w:eastAsia="zh-CN"/>
        </w:rPr>
        <w:t>沧</w:t>
      </w:r>
      <w:r>
        <w:rPr>
          <w:rFonts w:hint="eastAsia" w:ascii="仿宋_GB2312" w:hAnsi="仿宋_GB2312" w:eastAsia="仿宋_GB2312" w:cs="仿宋_GB2312"/>
          <w:b w:val="0"/>
          <w:i w:val="0"/>
          <w:caps w:val="0"/>
          <w:color w:val="auto"/>
          <w:spacing w:val="0"/>
          <w:w w:val="100"/>
          <w:sz w:val="32"/>
          <w:szCs w:val="32"/>
          <w:highlight w:val="none"/>
        </w:rPr>
        <w:t>天下茶都</w:t>
      </w:r>
      <w:r>
        <w:rPr>
          <w:rFonts w:hint="eastAsia" w:ascii="仿宋_GB2312" w:hAnsi="仿宋_GB2312" w:eastAsia="仿宋_GB2312" w:cs="仿宋_GB2312"/>
          <w:b w:val="0"/>
          <w:i w:val="0"/>
          <w:caps w:val="0"/>
          <w:color w:val="auto"/>
          <w:spacing w:val="0"/>
          <w:w w:val="100"/>
          <w:sz w:val="32"/>
          <w:szCs w:val="32"/>
          <w:highlight w:val="none"/>
          <w:lang w:eastAsia="zh-CN"/>
        </w:rPr>
        <w:t>茶叶有限公司</w:t>
      </w:r>
      <w:r>
        <w:rPr>
          <w:rFonts w:hint="eastAsia" w:ascii="仿宋_GB2312" w:hAnsi="仿宋_GB2312" w:eastAsia="仿宋_GB2312" w:cs="仿宋_GB2312"/>
          <w:b w:val="0"/>
          <w:i w:val="0"/>
          <w:caps w:val="0"/>
          <w:color w:val="auto"/>
          <w:spacing w:val="0"/>
          <w:w w:val="100"/>
          <w:sz w:val="32"/>
          <w:szCs w:val="32"/>
          <w:highlight w:val="none"/>
        </w:rPr>
        <w:t>、</w:t>
      </w:r>
      <w:r>
        <w:rPr>
          <w:rFonts w:hint="eastAsia" w:ascii="仿宋_GB2312" w:hAnsi="仿宋_GB2312" w:eastAsia="仿宋_GB2312" w:cs="仿宋_GB2312"/>
          <w:b w:val="0"/>
          <w:i w:val="0"/>
          <w:caps w:val="0"/>
          <w:color w:val="auto"/>
          <w:spacing w:val="0"/>
          <w:w w:val="100"/>
          <w:sz w:val="32"/>
          <w:szCs w:val="32"/>
          <w:highlight w:val="none"/>
          <w:lang w:val="en-US"/>
        </w:rPr>
        <w:t>临</w:t>
      </w:r>
      <w:r>
        <w:rPr>
          <w:rFonts w:hint="eastAsia" w:ascii="仿宋_GB2312" w:hAnsi="仿宋_GB2312" w:eastAsia="仿宋_GB2312" w:cs="仿宋_GB2312"/>
          <w:b w:val="0"/>
          <w:i w:val="0"/>
          <w:caps w:val="0"/>
          <w:color w:val="auto"/>
          <w:spacing w:val="0"/>
          <w:w w:val="100"/>
          <w:sz w:val="32"/>
          <w:szCs w:val="32"/>
          <w:highlight w:val="none"/>
          <w:lang w:val="en-US" w:eastAsia="zh-CN"/>
        </w:rPr>
        <w:t>沧</w:t>
      </w:r>
      <w:r>
        <w:rPr>
          <w:rFonts w:hint="eastAsia" w:ascii="仿宋_GB2312" w:hAnsi="仿宋_GB2312" w:eastAsia="仿宋_GB2312" w:cs="仿宋_GB2312"/>
          <w:b w:val="0"/>
          <w:i w:val="0"/>
          <w:caps w:val="0"/>
          <w:color w:val="auto"/>
          <w:spacing w:val="0"/>
          <w:w w:val="100"/>
          <w:sz w:val="32"/>
          <w:szCs w:val="32"/>
          <w:highlight w:val="none"/>
        </w:rPr>
        <w:t>燕雨茶叶</w:t>
      </w:r>
      <w:r>
        <w:rPr>
          <w:rFonts w:hint="eastAsia" w:ascii="仿宋_GB2312" w:hAnsi="仿宋_GB2312" w:eastAsia="仿宋_GB2312" w:cs="仿宋_GB2312"/>
          <w:b w:val="0"/>
          <w:i w:val="0"/>
          <w:caps w:val="0"/>
          <w:color w:val="auto"/>
          <w:spacing w:val="0"/>
          <w:w w:val="100"/>
          <w:sz w:val="32"/>
          <w:szCs w:val="32"/>
          <w:highlight w:val="none"/>
          <w:lang w:eastAsia="zh-CN"/>
        </w:rPr>
        <w:t>有限公司荣</w:t>
      </w:r>
      <w:r>
        <w:rPr>
          <w:rFonts w:hint="eastAsia" w:ascii="仿宋_GB2312" w:hAnsi="仿宋_GB2312" w:eastAsia="仿宋_GB2312" w:cs="仿宋_GB2312"/>
          <w:b w:val="0"/>
          <w:i w:val="0"/>
          <w:caps w:val="0"/>
          <w:color w:val="auto"/>
          <w:spacing w:val="0"/>
          <w:w w:val="100"/>
          <w:sz w:val="32"/>
          <w:szCs w:val="32"/>
          <w:highlight w:val="none"/>
          <w:lang w:val="en-US" w:eastAsia="zh-CN"/>
        </w:rPr>
        <w:t>获2021年临沧市</w:t>
      </w:r>
      <w:r>
        <w:rPr>
          <w:rFonts w:hint="eastAsia" w:ascii="仿宋_GB2312" w:hAnsi="仿宋_GB2312" w:eastAsia="仿宋_GB2312" w:cs="仿宋_GB2312"/>
          <w:b w:val="0"/>
          <w:bCs w:val="0"/>
          <w:i w:val="0"/>
          <w:iCs w:val="0"/>
          <w:caps w:val="0"/>
          <w:color w:val="auto"/>
          <w:spacing w:val="0"/>
          <w:w w:val="100"/>
          <w:sz w:val="32"/>
          <w:szCs w:val="32"/>
          <w:highlight w:val="none"/>
        </w:rPr>
        <w:t>十佳名优农产品加工企业</w:t>
      </w:r>
      <w:r>
        <w:rPr>
          <w:rFonts w:hint="eastAsia" w:ascii="仿宋_GB2312" w:hAnsi="仿宋_GB2312" w:eastAsia="仿宋_GB2312" w:cs="仿宋_GB2312"/>
          <w:b w:val="0"/>
          <w:bCs w:val="0"/>
          <w:i w:val="0"/>
          <w:iCs w:val="0"/>
          <w:caps w:val="0"/>
          <w:color w:val="auto"/>
          <w:spacing w:val="0"/>
          <w:w w:val="100"/>
          <w:sz w:val="32"/>
          <w:szCs w:val="32"/>
          <w:highlight w:val="none"/>
          <w:lang w:val="en-US"/>
        </w:rPr>
        <w:t>奖</w:t>
      </w:r>
      <w:r>
        <w:rPr>
          <w:rFonts w:hint="eastAsia" w:ascii="仿宋_GB2312" w:hAnsi="仿宋_GB2312" w:eastAsia="仿宋_GB2312" w:cs="仿宋_GB2312"/>
          <w:b w:val="0"/>
          <w:i w:val="0"/>
          <w:caps w:val="0"/>
          <w:color w:val="auto"/>
          <w:spacing w:val="0"/>
          <w:w w:val="100"/>
          <w:sz w:val="32"/>
          <w:szCs w:val="32"/>
          <w:highlight w:val="none"/>
          <w:lang w:val="en-US" w:eastAsia="zh-CN"/>
        </w:rPr>
        <w:t>。</w:t>
      </w:r>
      <w:r>
        <w:rPr>
          <w:rFonts w:hint="eastAsia" w:ascii="仿宋_GB2312" w:hAnsi="仿宋_GB2312" w:eastAsia="仿宋_GB2312" w:cs="仿宋_GB2312"/>
          <w:color w:val="auto"/>
          <w:sz w:val="32"/>
          <w:szCs w:val="32"/>
          <w:highlight w:val="none"/>
          <w:shd w:val="clear"/>
          <w:lang w:val="en-US" w:eastAsia="zh-CN"/>
        </w:rPr>
        <w:t>全区累计</w:t>
      </w:r>
      <w:r>
        <w:rPr>
          <w:rFonts w:hint="eastAsia" w:ascii="仿宋_GB2312" w:hAnsi="仿宋_GB2312" w:eastAsia="仿宋_GB2312" w:cs="仿宋_GB2312"/>
          <w:color w:val="auto"/>
          <w:sz w:val="32"/>
          <w:szCs w:val="32"/>
          <w:lang w:eastAsia="zh-CN"/>
        </w:rPr>
        <w:t>非公经济企业户数31432户，其中：个体户25287户。</w:t>
      </w:r>
      <w:r>
        <w:rPr>
          <w:rFonts w:hint="eastAsia" w:ascii="仿宋_GB2312" w:hAnsi="仿宋_GB2312" w:eastAsia="仿宋_GB2312" w:cs="仿宋_GB2312"/>
          <w:b/>
          <w:bCs/>
          <w:color w:val="auto"/>
          <w:kern w:val="2"/>
          <w:sz w:val="32"/>
          <w:szCs w:val="32"/>
          <w:highlight w:val="none"/>
          <w:shd w:val="clear"/>
          <w:lang w:val="en-US" w:eastAsia="zh-CN" w:bidi="ar-SA"/>
        </w:rPr>
        <w:t>城镇化成效初显。</w:t>
      </w:r>
      <w:r>
        <w:rPr>
          <w:rFonts w:hint="eastAsia" w:ascii="仿宋_GB2312" w:hAnsi="仿宋_GB2312" w:eastAsia="仿宋_GB2312" w:cs="仿宋_GB2312"/>
          <w:color w:val="auto"/>
          <w:sz w:val="32"/>
          <w:szCs w:val="32"/>
          <w:highlight w:val="none"/>
        </w:rPr>
        <w:t>敬老院道路</w:t>
      </w:r>
      <w:r>
        <w:rPr>
          <w:rFonts w:hint="eastAsia" w:ascii="仿宋_GB2312" w:hAnsi="仿宋_GB2312" w:eastAsia="仿宋_GB2312" w:cs="仿宋_GB2312"/>
          <w:color w:val="auto"/>
          <w:sz w:val="32"/>
          <w:szCs w:val="32"/>
          <w:highlight w:val="none"/>
          <w:lang w:val="en-US" w:eastAsia="zh-CN"/>
        </w:rPr>
        <w:t>等</w:t>
      </w:r>
      <w:r>
        <w:rPr>
          <w:rFonts w:hint="eastAsia" w:ascii="仿宋_GB2312" w:hAnsi="仿宋_GB2312" w:eastAsia="仿宋_GB2312" w:cs="仿宋_GB2312"/>
          <w:color w:val="auto"/>
          <w:sz w:val="32"/>
          <w:szCs w:val="32"/>
          <w:highlight w:val="none"/>
        </w:rPr>
        <w:t>市政道路全面完工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累计</w:t>
      </w:r>
      <w:r>
        <w:rPr>
          <w:rFonts w:hint="eastAsia" w:ascii="仿宋_GB2312" w:hAnsi="仿宋_GB2312" w:eastAsia="仿宋_GB2312" w:cs="仿宋_GB2312"/>
          <w:color w:val="auto"/>
          <w:sz w:val="32"/>
          <w:szCs w:val="32"/>
          <w:highlight w:val="none"/>
          <w:shd w:val="clear"/>
        </w:rPr>
        <w:t>改造及新建市政道路建设3公里，</w:t>
      </w:r>
      <w:r>
        <w:rPr>
          <w:rFonts w:hint="eastAsia" w:ascii="仿宋_GB2312" w:hAnsi="仿宋_GB2312" w:eastAsia="仿宋_GB2312" w:cs="仿宋_GB2312"/>
          <w:color w:val="auto"/>
          <w:sz w:val="32"/>
          <w:szCs w:val="32"/>
          <w:highlight w:val="none"/>
          <w:shd w:val="clear"/>
          <w:lang w:eastAsia="zh-CN"/>
        </w:rPr>
        <w:t>修补人行道约</w:t>
      </w:r>
      <w:r>
        <w:rPr>
          <w:rFonts w:hint="eastAsia" w:ascii="仿宋_GB2312" w:hAnsi="仿宋_GB2312" w:eastAsia="仿宋_GB2312" w:cs="仿宋_GB2312"/>
          <w:color w:val="auto"/>
          <w:sz w:val="32"/>
          <w:szCs w:val="32"/>
          <w:highlight w:val="none"/>
          <w:shd w:val="clear"/>
          <w:lang w:val="en-US" w:eastAsia="zh-CN"/>
        </w:rPr>
        <w:t>4000平方米</w:t>
      </w:r>
      <w:r>
        <w:rPr>
          <w:rFonts w:hint="eastAsia" w:ascii="仿宋_GB2312" w:hAnsi="仿宋_GB2312" w:eastAsia="仿宋_GB2312" w:cs="仿宋_GB2312"/>
          <w:color w:val="auto"/>
          <w:sz w:val="32"/>
          <w:szCs w:val="32"/>
          <w:highlight w:val="none"/>
          <w:shd w:val="clear"/>
          <w:lang w:eastAsia="zh-CN"/>
        </w:rPr>
        <w:t>，修补路面约</w:t>
      </w:r>
      <w:r>
        <w:rPr>
          <w:rFonts w:hint="eastAsia" w:ascii="仿宋_GB2312" w:hAnsi="仿宋_GB2312" w:eastAsia="仿宋_GB2312" w:cs="仿宋_GB2312"/>
          <w:color w:val="auto"/>
          <w:sz w:val="32"/>
          <w:szCs w:val="32"/>
          <w:highlight w:val="none"/>
          <w:shd w:val="clear"/>
          <w:lang w:val="en-US" w:eastAsia="zh-CN"/>
        </w:rPr>
        <w:t>5000平方米</w:t>
      </w:r>
      <w:r>
        <w:rPr>
          <w:rFonts w:hint="eastAsia" w:ascii="仿宋_GB2312" w:hAnsi="仿宋_GB2312" w:eastAsia="仿宋_GB2312" w:cs="仿宋_GB2312"/>
          <w:color w:val="auto"/>
          <w:sz w:val="32"/>
          <w:szCs w:val="32"/>
          <w:highlight w:val="none"/>
          <w:shd w:val="clear"/>
          <w:lang w:eastAsia="zh-CN"/>
        </w:rPr>
        <w:t>，道路交通标线约</w:t>
      </w:r>
      <w:r>
        <w:rPr>
          <w:rFonts w:hint="eastAsia" w:ascii="仿宋_GB2312" w:hAnsi="仿宋_GB2312" w:eastAsia="仿宋_GB2312" w:cs="仿宋_GB2312"/>
          <w:color w:val="auto"/>
          <w:sz w:val="32"/>
          <w:szCs w:val="32"/>
          <w:highlight w:val="none"/>
          <w:shd w:val="clear"/>
          <w:lang w:val="en-US" w:eastAsia="zh-CN"/>
        </w:rPr>
        <w:t>7万平方米</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highlight w:val="none"/>
          <w:shd w:val="clear"/>
        </w:rPr>
        <w:t>亚微会展中心，章嘎、头塘街片区棚户区和老旧小区改造带动城市更新项目加快推进</w:t>
      </w:r>
      <w:r>
        <w:rPr>
          <w:rFonts w:hint="eastAsia" w:ascii="仿宋_GB2312" w:hAnsi="仿宋_GB2312" w:eastAsia="仿宋_GB2312" w:cs="仿宋_GB2312"/>
          <w:color w:val="auto"/>
          <w:sz w:val="32"/>
          <w:szCs w:val="32"/>
          <w:highlight w:val="none"/>
          <w:shd w:val="clear"/>
          <w:lang w:eastAsia="zh-CN"/>
        </w:rPr>
        <w:t>。</w:t>
      </w:r>
      <w:r>
        <w:rPr>
          <w:rFonts w:hint="eastAsia" w:ascii="仿宋_GB2312" w:hAnsi="仿宋_GB2312" w:eastAsia="仿宋_GB2312" w:cs="仿宋_GB2312"/>
          <w:color w:val="auto"/>
          <w:sz w:val="32"/>
          <w:szCs w:val="32"/>
          <w:highlight w:val="none"/>
        </w:rPr>
        <w:t>主城区生态环境提升改造</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rPr>
        <w:t>污水处理厂提标改造及二期扩建</w:t>
      </w:r>
      <w:r>
        <w:rPr>
          <w:rFonts w:hint="eastAsia" w:ascii="仿宋_GB2312" w:hAnsi="仿宋_GB2312" w:eastAsia="仿宋_GB2312" w:cs="仿宋_GB2312"/>
          <w:color w:val="auto"/>
          <w:sz w:val="32"/>
          <w:szCs w:val="32"/>
          <w:lang w:val="en-US" w:eastAsia="zh-CN"/>
        </w:rPr>
        <w:t>及</w:t>
      </w:r>
      <w:r>
        <w:rPr>
          <w:rFonts w:hint="eastAsia" w:ascii="仿宋_GB2312" w:hAnsi="仿宋_GB2312" w:eastAsia="仿宋_GB2312" w:cs="仿宋_GB2312"/>
          <w:color w:val="auto"/>
          <w:sz w:val="32"/>
          <w:szCs w:val="32"/>
          <w:highlight w:val="none"/>
          <w:shd w:val="clear"/>
          <w:lang w:val="en-US" w:eastAsia="zh-CN"/>
        </w:rPr>
        <w:t>10</w:t>
      </w:r>
      <w:r>
        <w:rPr>
          <w:rFonts w:hint="eastAsia" w:ascii="仿宋_GB2312" w:hAnsi="仿宋_GB2312" w:eastAsia="仿宋_GB2312" w:cs="仿宋_GB2312"/>
          <w:color w:val="auto"/>
          <w:sz w:val="32"/>
          <w:szCs w:val="32"/>
          <w:highlight w:val="none"/>
          <w:shd w:val="clear"/>
        </w:rPr>
        <w:t>个老旧小区改造</w:t>
      </w:r>
      <w:r>
        <w:rPr>
          <w:rFonts w:hint="eastAsia" w:ascii="仿宋_GB2312" w:hAnsi="仿宋_GB2312" w:eastAsia="仿宋_GB2312" w:cs="仿宋_GB2312"/>
          <w:color w:val="auto"/>
          <w:sz w:val="32"/>
          <w:szCs w:val="32"/>
          <w:highlight w:val="none"/>
          <w:shd w:val="clear"/>
          <w:lang w:val="en-US" w:eastAsia="zh-CN"/>
        </w:rPr>
        <w:t>开工建设，花园城市建设项目前期工作加快推进</w:t>
      </w:r>
      <w:r>
        <w:rPr>
          <w:rFonts w:hint="eastAsia" w:ascii="仿宋_GB2312" w:hAnsi="仿宋_GB2312" w:eastAsia="仿宋_GB2312" w:cs="仿宋_GB2312"/>
          <w:color w:val="auto"/>
          <w:sz w:val="32"/>
          <w:szCs w:val="32"/>
          <w:highlight w:val="none"/>
          <w:shd w:val="clear"/>
        </w:rPr>
        <w:t>。新建停车场3个，增加停车位564个，智能化停车泊位升级改造2</w:t>
      </w:r>
      <w:r>
        <w:rPr>
          <w:rFonts w:hint="eastAsia" w:ascii="仿宋_GB2312" w:hAnsi="仿宋_GB2312" w:eastAsia="仿宋_GB2312" w:cs="仿宋_GB2312"/>
          <w:color w:val="auto"/>
          <w:sz w:val="32"/>
          <w:szCs w:val="32"/>
          <w:highlight w:val="none"/>
          <w:shd w:val="clear"/>
          <w:lang w:val="en-US" w:eastAsia="zh-CN"/>
        </w:rPr>
        <w:t>337</w:t>
      </w:r>
      <w:r>
        <w:rPr>
          <w:rFonts w:hint="eastAsia" w:ascii="仿宋_GB2312" w:hAnsi="仿宋_GB2312" w:eastAsia="仿宋_GB2312" w:cs="仿宋_GB2312"/>
          <w:color w:val="auto"/>
          <w:sz w:val="32"/>
          <w:szCs w:val="32"/>
          <w:highlight w:val="none"/>
          <w:shd w:val="clear"/>
        </w:rPr>
        <w:t>个</w:t>
      </w:r>
      <w:r>
        <w:rPr>
          <w:rFonts w:hint="eastAsia" w:ascii="仿宋_GB2312" w:hAnsi="仿宋_GB2312" w:eastAsia="仿宋_GB2312" w:cs="仿宋_GB2312"/>
          <w:color w:val="auto"/>
          <w:sz w:val="32"/>
          <w:szCs w:val="32"/>
          <w:highlight w:val="none"/>
          <w:shd w:val="clear"/>
          <w:lang w:eastAsia="zh-CN"/>
        </w:rPr>
        <w:t>。</w:t>
      </w:r>
      <w:r>
        <w:rPr>
          <w:rFonts w:hint="eastAsia" w:ascii="仿宋_GB2312" w:hAnsi="仿宋_GB2312" w:eastAsia="仿宋_GB2312" w:cs="仿宋_GB2312"/>
          <w:color w:val="auto"/>
          <w:sz w:val="32"/>
          <w:szCs w:val="32"/>
          <w:highlight w:val="none"/>
          <w:shd w:val="clear"/>
        </w:rPr>
        <w:t>新增公共绿地</w:t>
      </w:r>
      <w:r>
        <w:rPr>
          <w:rFonts w:hint="eastAsia" w:ascii="仿宋_GB2312" w:hAnsi="仿宋_GB2312" w:eastAsia="仿宋_GB2312" w:cs="仿宋_GB2312"/>
          <w:color w:val="auto"/>
          <w:sz w:val="32"/>
          <w:szCs w:val="32"/>
          <w:highlight w:val="none"/>
          <w:shd w:val="clear"/>
          <w:lang w:val="en-US" w:eastAsia="zh-CN"/>
        </w:rPr>
        <w:t>9.48万平方米</w:t>
      </w:r>
      <w:r>
        <w:rPr>
          <w:rFonts w:hint="eastAsia" w:ascii="仿宋_GB2312" w:hAnsi="仿宋_GB2312" w:eastAsia="仿宋_GB2312" w:cs="仿宋_GB2312"/>
          <w:color w:val="auto"/>
          <w:sz w:val="32"/>
          <w:szCs w:val="32"/>
          <w:highlight w:val="none"/>
          <w:shd w:val="clear"/>
        </w:rPr>
        <w:t>，新建城市公园</w:t>
      </w:r>
      <w:r>
        <w:rPr>
          <w:rFonts w:hint="eastAsia" w:ascii="仿宋_GB2312" w:hAnsi="仿宋_GB2312" w:eastAsia="仿宋_GB2312" w:cs="仿宋_GB2312"/>
          <w:color w:val="auto"/>
          <w:sz w:val="32"/>
          <w:szCs w:val="32"/>
          <w:highlight w:val="none"/>
          <w:shd w:val="clear"/>
          <w:lang w:val="en-US" w:eastAsia="zh-CN"/>
        </w:rPr>
        <w:t>6</w:t>
      </w:r>
      <w:r>
        <w:rPr>
          <w:rFonts w:hint="eastAsia" w:ascii="仿宋_GB2312" w:hAnsi="仿宋_GB2312" w:eastAsia="仿宋_GB2312" w:cs="仿宋_GB2312"/>
          <w:color w:val="auto"/>
          <w:sz w:val="32"/>
          <w:szCs w:val="32"/>
          <w:highlight w:val="none"/>
          <w:shd w:val="clear"/>
        </w:rPr>
        <w:t>个，改造提升主要街区2条，特色化改造建筑外立面8000</w:t>
      </w:r>
      <w:r>
        <w:rPr>
          <w:rFonts w:hint="eastAsia" w:ascii="仿宋_GB2312" w:hAnsi="仿宋_GB2312" w:eastAsia="仿宋_GB2312" w:cs="仿宋_GB2312"/>
          <w:color w:val="auto"/>
          <w:sz w:val="32"/>
          <w:szCs w:val="32"/>
          <w:highlight w:val="none"/>
          <w:shd w:val="clear"/>
          <w:lang w:val="en-US" w:eastAsia="zh-CN"/>
        </w:rPr>
        <w:t>平方米</w:t>
      </w:r>
      <w:r>
        <w:rPr>
          <w:rFonts w:hint="eastAsia" w:ascii="仿宋_GB2312" w:hAnsi="仿宋_GB2312" w:eastAsia="仿宋_GB2312" w:cs="仿宋_GB2312"/>
          <w:color w:val="auto"/>
          <w:sz w:val="32"/>
          <w:szCs w:val="32"/>
          <w:highlight w:val="none"/>
          <w:shd w:val="clear"/>
        </w:rPr>
        <w:t>。建成</w:t>
      </w:r>
      <w:r>
        <w:rPr>
          <w:rFonts w:hint="eastAsia" w:ascii="仿宋_GB2312" w:hAnsi="仿宋_GB2312" w:eastAsia="仿宋_GB2312" w:cs="仿宋_GB2312"/>
          <w:color w:val="auto"/>
          <w:sz w:val="32"/>
          <w:szCs w:val="32"/>
          <w:highlight w:val="none"/>
          <w:shd w:val="clear"/>
          <w:lang w:eastAsia="zh-CN"/>
        </w:rPr>
        <w:t>“</w:t>
      </w:r>
      <w:r>
        <w:rPr>
          <w:rFonts w:hint="eastAsia" w:ascii="仿宋_GB2312" w:hAnsi="仿宋_GB2312" w:eastAsia="仿宋_GB2312" w:cs="仿宋_GB2312"/>
          <w:color w:val="auto"/>
          <w:sz w:val="32"/>
          <w:szCs w:val="32"/>
          <w:highlight w:val="none"/>
          <w:shd w:val="clear"/>
        </w:rPr>
        <w:t>美丽宜居小区</w:t>
      </w:r>
      <w:r>
        <w:rPr>
          <w:rFonts w:hint="eastAsia" w:ascii="仿宋_GB2312" w:hAnsi="仿宋_GB2312" w:eastAsia="仿宋_GB2312" w:cs="仿宋_GB2312"/>
          <w:color w:val="auto"/>
          <w:sz w:val="32"/>
          <w:szCs w:val="32"/>
          <w:highlight w:val="none"/>
          <w:shd w:val="clear"/>
          <w:lang w:eastAsia="zh-CN"/>
        </w:rPr>
        <w:t>”</w:t>
      </w:r>
      <w:r>
        <w:rPr>
          <w:rFonts w:hint="eastAsia" w:ascii="仿宋_GB2312" w:hAnsi="仿宋_GB2312" w:eastAsia="仿宋_GB2312" w:cs="仿宋_GB2312"/>
          <w:color w:val="auto"/>
          <w:sz w:val="32"/>
          <w:szCs w:val="32"/>
          <w:highlight w:val="none"/>
          <w:shd w:val="clear"/>
        </w:rPr>
        <w:t>20个。全面放开城镇地区户籍迁移限制，推进易地扶贫搬迁等政策移民户口迁移</w:t>
      </w:r>
      <w:r>
        <w:rPr>
          <w:rFonts w:hint="eastAsia" w:ascii="仿宋_GB2312" w:hAnsi="仿宋_GB2312" w:eastAsia="仿宋_GB2312" w:cs="仿宋_GB2312"/>
          <w:color w:val="auto"/>
          <w:sz w:val="32"/>
          <w:szCs w:val="32"/>
          <w:highlight w:val="none"/>
          <w:shd w:val="clear"/>
          <w:lang w:val="en-US" w:eastAsia="zh-CN"/>
        </w:rPr>
        <w:t>落实</w:t>
      </w:r>
      <w:r>
        <w:rPr>
          <w:rFonts w:hint="eastAsia" w:ascii="仿宋_GB2312" w:hAnsi="仿宋_GB2312" w:eastAsia="仿宋_GB2312" w:cs="仿宋_GB2312"/>
          <w:color w:val="auto"/>
          <w:sz w:val="32"/>
          <w:szCs w:val="32"/>
          <w:highlight w:val="none"/>
          <w:shd w:val="clear"/>
          <w:lang w:eastAsia="zh-CN"/>
        </w:rPr>
        <w:t>。</w:t>
      </w:r>
      <w:r>
        <w:rPr>
          <w:rFonts w:hint="eastAsia" w:ascii="仿宋_GB2312" w:hAnsi="仿宋_GB2312" w:eastAsia="仿宋_GB2312" w:cs="仿宋_GB2312"/>
          <w:b/>
          <w:bCs/>
          <w:color w:val="auto"/>
          <w:sz w:val="32"/>
          <w:szCs w:val="32"/>
          <w:highlight w:val="none"/>
          <w:shd w:val="clear"/>
          <w:lang w:val="en-US" w:eastAsia="zh-CN"/>
        </w:rPr>
        <w:t>农业</w:t>
      </w:r>
      <w:r>
        <w:rPr>
          <w:rFonts w:hint="eastAsia" w:ascii="仿宋_GB2312" w:hAnsi="仿宋_GB2312" w:eastAsia="仿宋_GB2312" w:cs="仿宋_GB2312"/>
          <w:b/>
          <w:bCs/>
          <w:color w:val="auto"/>
          <w:kern w:val="2"/>
          <w:sz w:val="32"/>
          <w:szCs w:val="32"/>
          <w:highlight w:val="none"/>
          <w:shd w:val="clear"/>
          <w:lang w:val="en-US" w:eastAsia="zh-CN" w:bidi="ar-SA"/>
        </w:rPr>
        <w:t>现代化基础不断夯实。一是</w:t>
      </w:r>
      <w:r>
        <w:rPr>
          <w:rFonts w:hint="eastAsia" w:ascii="仿宋_GB2312" w:hAnsi="仿宋_GB2312" w:eastAsia="仿宋_GB2312" w:cs="仿宋_GB2312"/>
          <w:b w:val="0"/>
          <w:bCs w:val="0"/>
          <w:color w:val="auto"/>
          <w:kern w:val="2"/>
          <w:sz w:val="32"/>
          <w:szCs w:val="32"/>
          <w:highlight w:val="none"/>
          <w:shd w:val="clear"/>
          <w:lang w:val="en-US" w:eastAsia="zh-CN" w:bidi="ar-SA"/>
        </w:rPr>
        <w:t>开展“五大培训工程”，全面提高农民及企业家素质。累计开展现代农业培训</w:t>
      </w:r>
      <w:r>
        <w:rPr>
          <w:rFonts w:hint="eastAsia" w:ascii="仿宋_GB2312" w:hAnsi="仿宋_GB2312" w:eastAsia="仿宋_GB2312" w:cs="仿宋_GB2312"/>
          <w:b w:val="0"/>
          <w:bCs w:val="0"/>
          <w:strike w:val="0"/>
          <w:dstrike w:val="0"/>
          <w:color w:val="auto"/>
          <w:kern w:val="2"/>
          <w:sz w:val="32"/>
          <w:szCs w:val="32"/>
          <w:highlight w:val="none"/>
          <w:shd w:val="clear"/>
          <w:lang w:val="en-US" w:eastAsia="zh-CN" w:bidi="ar-SA"/>
        </w:rPr>
        <w:t>6</w:t>
      </w:r>
      <w:r>
        <w:rPr>
          <w:rFonts w:hint="eastAsia" w:ascii="仿宋_GB2312" w:hAnsi="仿宋_GB2312" w:eastAsia="仿宋_GB2312" w:cs="仿宋_GB2312"/>
          <w:b w:val="0"/>
          <w:bCs w:val="0"/>
          <w:color w:val="auto"/>
          <w:kern w:val="2"/>
          <w:sz w:val="32"/>
          <w:szCs w:val="32"/>
          <w:highlight w:val="none"/>
          <w:shd w:val="clear"/>
          <w:lang w:val="en-US" w:eastAsia="zh-CN" w:bidi="ar-SA"/>
        </w:rPr>
        <w:t>期，受训941人次；</w:t>
      </w:r>
      <w:r>
        <w:rPr>
          <w:rFonts w:hint="eastAsia" w:ascii="仿宋_GB2312" w:hAnsi="仿宋_GB2312" w:eastAsia="仿宋_GB2312" w:cs="仿宋_GB2312"/>
          <w:color w:val="auto"/>
          <w:sz w:val="32"/>
          <w:szCs w:val="32"/>
          <w:highlight w:val="none"/>
        </w:rPr>
        <w:t>现代工业企业家培训</w:t>
      </w:r>
      <w:r>
        <w:rPr>
          <w:rFonts w:hint="eastAsia" w:ascii="仿宋_GB2312" w:hAnsi="仿宋_GB2312" w:eastAsia="仿宋_GB2312" w:cs="仿宋_GB2312"/>
          <w:color w:val="auto"/>
          <w:sz w:val="32"/>
          <w:szCs w:val="32"/>
          <w:highlight w:val="none"/>
          <w:lang w:val="en-US" w:eastAsia="zh-CN"/>
        </w:rPr>
        <w:t>2期，</w:t>
      </w:r>
      <w:r>
        <w:rPr>
          <w:rFonts w:hint="eastAsia" w:ascii="仿宋_GB2312" w:hAnsi="仿宋_GB2312" w:eastAsia="仿宋_GB2312" w:cs="仿宋_GB2312"/>
          <w:b w:val="0"/>
          <w:bCs w:val="0"/>
          <w:color w:val="auto"/>
          <w:kern w:val="2"/>
          <w:sz w:val="32"/>
          <w:szCs w:val="32"/>
          <w:highlight w:val="none"/>
          <w:shd w:val="clear"/>
          <w:lang w:val="en-US" w:eastAsia="zh-CN" w:bidi="ar-SA"/>
        </w:rPr>
        <w:t>受训306人次；</w:t>
      </w:r>
      <w:r>
        <w:rPr>
          <w:rFonts w:hint="eastAsia" w:ascii="仿宋_GB2312" w:hAnsi="仿宋_GB2312" w:eastAsia="仿宋_GB2312" w:cs="仿宋_GB2312"/>
          <w:color w:val="auto"/>
          <w:sz w:val="32"/>
          <w:szCs w:val="32"/>
          <w:highlight w:val="none"/>
        </w:rPr>
        <w:t>现代商业企业家培训</w:t>
      </w:r>
      <w:r>
        <w:rPr>
          <w:rFonts w:hint="eastAsia" w:ascii="仿宋_GB2312" w:hAnsi="仿宋_GB2312" w:eastAsia="仿宋_GB2312" w:cs="仿宋_GB2312"/>
          <w:color w:val="auto"/>
          <w:sz w:val="32"/>
          <w:szCs w:val="32"/>
          <w:highlight w:val="none"/>
          <w:lang w:val="en-US" w:eastAsia="zh-CN"/>
        </w:rPr>
        <w:t>4期，</w:t>
      </w:r>
      <w:r>
        <w:rPr>
          <w:rFonts w:hint="eastAsia" w:ascii="仿宋_GB2312" w:hAnsi="仿宋_GB2312" w:eastAsia="仿宋_GB2312" w:cs="仿宋_GB2312"/>
          <w:b w:val="0"/>
          <w:bCs w:val="0"/>
          <w:color w:val="auto"/>
          <w:kern w:val="2"/>
          <w:sz w:val="32"/>
          <w:szCs w:val="32"/>
          <w:highlight w:val="none"/>
          <w:shd w:val="clear"/>
          <w:lang w:val="en-US" w:eastAsia="zh-CN" w:bidi="ar-SA"/>
        </w:rPr>
        <w:t>受训275人次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可持续发展项目培训</w:t>
      </w:r>
      <w:r>
        <w:rPr>
          <w:rFonts w:hint="eastAsia" w:ascii="仿宋_GB2312" w:hAnsi="仿宋_GB2312" w:eastAsia="仿宋_GB2312" w:cs="仿宋_GB2312"/>
          <w:color w:val="auto"/>
          <w:sz w:val="32"/>
          <w:szCs w:val="32"/>
          <w:highlight w:val="none"/>
          <w:lang w:val="en-US" w:eastAsia="zh-CN"/>
        </w:rPr>
        <w:t>2期，</w:t>
      </w:r>
      <w:r>
        <w:rPr>
          <w:rFonts w:hint="eastAsia" w:ascii="仿宋_GB2312" w:hAnsi="仿宋_GB2312" w:eastAsia="仿宋_GB2312" w:cs="仿宋_GB2312"/>
          <w:b w:val="0"/>
          <w:bCs w:val="0"/>
          <w:color w:val="auto"/>
          <w:kern w:val="2"/>
          <w:sz w:val="32"/>
          <w:szCs w:val="32"/>
          <w:highlight w:val="none"/>
          <w:shd w:val="clear"/>
          <w:lang w:val="en-US" w:eastAsia="zh-CN" w:bidi="ar-SA"/>
        </w:rPr>
        <w:t>受训213人次。</w:t>
      </w:r>
      <w:r>
        <w:rPr>
          <w:rFonts w:hint="eastAsia" w:ascii="仿宋_GB2312" w:hAnsi="仿宋_GB2312" w:eastAsia="仿宋_GB2312" w:cs="仿宋_GB2312"/>
          <w:b/>
          <w:bCs/>
          <w:color w:val="auto"/>
          <w:kern w:val="2"/>
          <w:sz w:val="32"/>
          <w:szCs w:val="32"/>
          <w:highlight w:val="none"/>
          <w:shd w:val="clear"/>
          <w:lang w:val="en-US" w:eastAsia="zh-CN" w:bidi="ar-SA"/>
        </w:rPr>
        <w:t>二是</w:t>
      </w:r>
      <w:r>
        <w:rPr>
          <w:rFonts w:hint="eastAsia" w:ascii="仿宋_GB2312" w:hAnsi="仿宋_GB2312" w:eastAsia="仿宋_GB2312" w:cs="仿宋_GB2312"/>
          <w:color w:val="auto"/>
          <w:kern w:val="2"/>
          <w:sz w:val="32"/>
          <w:szCs w:val="32"/>
          <w:highlight w:val="none"/>
          <w:lang w:val="en-US" w:eastAsia="zh-CN" w:bidi="ar"/>
        </w:rPr>
        <w:t>加快建设缅宁府肉食品公司肉牛生产线和熟食生产线，建强销售平台，促进肉牛产业健康发展。</w:t>
      </w:r>
      <w:r>
        <w:rPr>
          <w:rFonts w:hint="eastAsia" w:ascii="仿宋_GB2312" w:hAnsi="仿宋_GB2312" w:eastAsia="仿宋_GB2312" w:cs="仿宋_GB2312"/>
          <w:b/>
          <w:bCs/>
          <w:color w:val="auto"/>
          <w:kern w:val="2"/>
          <w:sz w:val="32"/>
          <w:szCs w:val="32"/>
          <w:highlight w:val="none"/>
          <w:lang w:val="en-US" w:eastAsia="zh-CN" w:bidi="ar"/>
        </w:rPr>
        <w:t>三是</w:t>
      </w:r>
      <w:r>
        <w:rPr>
          <w:rFonts w:hint="eastAsia" w:ascii="仿宋_GB2312" w:hAnsi="仿宋_GB2312" w:eastAsia="仿宋_GB2312" w:cs="仿宋_GB2312"/>
          <w:b w:val="0"/>
          <w:bCs w:val="0"/>
          <w:color w:val="auto"/>
          <w:kern w:val="2"/>
          <w:sz w:val="32"/>
          <w:szCs w:val="32"/>
          <w:highlight w:val="none"/>
          <w:lang w:val="en-US" w:eastAsia="zh-CN" w:bidi="ar"/>
        </w:rPr>
        <w:t>建成高标准农田面积1.145万亩，其中高效节水灌溉面积0.23万亩。</w:t>
      </w:r>
      <w:r>
        <w:rPr>
          <w:rFonts w:hint="eastAsia" w:ascii="仿宋_GB2312" w:hAnsi="仿宋_GB2312" w:eastAsia="仿宋_GB2312" w:cs="仿宋_GB2312"/>
          <w:bCs w:val="0"/>
          <w:color w:val="auto"/>
          <w:kern w:val="2"/>
          <w:sz w:val="32"/>
          <w:szCs w:val="32"/>
          <w:highlight w:val="none"/>
          <w:lang w:bidi="ar"/>
        </w:rPr>
        <w:t>“三品一标”认证达</w:t>
      </w:r>
      <w:r>
        <w:rPr>
          <w:rFonts w:hint="eastAsia" w:ascii="仿宋_GB2312" w:hAnsi="仿宋_GB2312" w:eastAsia="仿宋_GB2312" w:cs="仿宋_GB2312"/>
          <w:bCs w:val="0"/>
          <w:color w:val="auto"/>
          <w:kern w:val="2"/>
          <w:sz w:val="32"/>
          <w:szCs w:val="32"/>
          <w:highlight w:val="none"/>
          <w:lang w:val="en-US" w:eastAsia="zh-CN" w:bidi="ar"/>
        </w:rPr>
        <w:t>41</w:t>
      </w:r>
      <w:r>
        <w:rPr>
          <w:rFonts w:hint="eastAsia" w:ascii="仿宋_GB2312" w:hAnsi="仿宋_GB2312" w:eastAsia="仿宋_GB2312" w:cs="仿宋_GB2312"/>
          <w:bCs w:val="0"/>
          <w:color w:val="auto"/>
          <w:kern w:val="2"/>
          <w:sz w:val="32"/>
          <w:szCs w:val="32"/>
          <w:highlight w:val="none"/>
          <w:lang w:bidi="ar"/>
        </w:rPr>
        <w:t>个，培育市级以上农业龙头企业</w:t>
      </w:r>
      <w:r>
        <w:rPr>
          <w:rFonts w:hint="eastAsia" w:ascii="仿宋_GB2312" w:hAnsi="仿宋_GB2312" w:eastAsia="仿宋_GB2312" w:cs="仿宋_GB2312"/>
          <w:bCs w:val="0"/>
          <w:color w:val="auto"/>
          <w:kern w:val="2"/>
          <w:sz w:val="32"/>
          <w:szCs w:val="32"/>
          <w:highlight w:val="none"/>
          <w:lang w:val="en-US" w:eastAsia="zh-CN" w:bidi="ar"/>
        </w:rPr>
        <w:t>30</w:t>
      </w:r>
      <w:r>
        <w:rPr>
          <w:rFonts w:hint="eastAsia" w:ascii="仿宋_GB2312" w:hAnsi="仿宋_GB2312" w:eastAsia="仿宋_GB2312" w:cs="仿宋_GB2312"/>
          <w:bCs w:val="0"/>
          <w:color w:val="auto"/>
          <w:kern w:val="2"/>
          <w:sz w:val="32"/>
          <w:szCs w:val="32"/>
          <w:highlight w:val="none"/>
          <w:lang w:bidi="ar"/>
        </w:rPr>
        <w:t>户</w:t>
      </w:r>
      <w:r>
        <w:rPr>
          <w:rFonts w:hint="eastAsia" w:ascii="仿宋_GB2312" w:hAnsi="仿宋_GB2312" w:eastAsia="仿宋_GB2312" w:cs="仿宋_GB2312"/>
          <w:bCs w:val="0"/>
          <w:color w:val="auto"/>
          <w:kern w:val="2"/>
          <w:sz w:val="32"/>
          <w:szCs w:val="32"/>
          <w:highlight w:val="none"/>
          <w:lang w:eastAsia="zh-CN" w:bidi="ar"/>
        </w:rPr>
        <w:t>。</w:t>
      </w:r>
      <w:r>
        <w:rPr>
          <w:rFonts w:hint="eastAsia" w:ascii="仿宋_GB2312" w:hAnsi="仿宋_GB2312" w:eastAsia="仿宋_GB2312" w:cs="仿宋_GB2312"/>
          <w:i w:val="0"/>
          <w:caps w:val="0"/>
          <w:color w:val="auto"/>
          <w:spacing w:val="0"/>
          <w:sz w:val="32"/>
          <w:szCs w:val="32"/>
          <w:highlight w:val="none"/>
          <w:shd w:val="clear"/>
          <w:lang w:bidi="ar"/>
        </w:rPr>
        <w:t>优顺牌博尚菜籽油</w:t>
      </w:r>
      <w:r>
        <w:rPr>
          <w:rFonts w:hint="eastAsia" w:ascii="仿宋_GB2312" w:hAnsi="仿宋_GB2312" w:eastAsia="仿宋_GB2312" w:cs="仿宋_GB2312"/>
          <w:i w:val="0"/>
          <w:caps w:val="0"/>
          <w:color w:val="auto"/>
          <w:spacing w:val="0"/>
          <w:sz w:val="32"/>
          <w:szCs w:val="32"/>
          <w:highlight w:val="none"/>
          <w:shd w:val="clear"/>
          <w:lang w:val="en-US" w:eastAsia="zh-CN" w:bidi="ar"/>
        </w:rPr>
        <w:t>获</w:t>
      </w:r>
      <w:r>
        <w:rPr>
          <w:rFonts w:hint="eastAsia" w:ascii="仿宋_GB2312" w:hAnsi="仿宋_GB2312" w:eastAsia="仿宋_GB2312" w:cs="仿宋_GB2312"/>
          <w:b w:val="0"/>
          <w:i w:val="0"/>
          <w:caps w:val="0"/>
          <w:color w:val="auto"/>
          <w:spacing w:val="0"/>
          <w:sz w:val="32"/>
          <w:szCs w:val="32"/>
          <w:highlight w:val="none"/>
          <w:shd w:val="clear"/>
          <w:lang w:bidi="ar"/>
        </w:rPr>
        <w:t>市十大绿色农产品</w:t>
      </w:r>
      <w:r>
        <w:rPr>
          <w:rFonts w:hint="eastAsia" w:ascii="仿宋_GB2312" w:hAnsi="仿宋_GB2312" w:eastAsia="仿宋_GB2312" w:cs="仿宋_GB2312"/>
          <w:b w:val="0"/>
          <w:i w:val="0"/>
          <w:caps w:val="0"/>
          <w:color w:val="auto"/>
          <w:spacing w:val="0"/>
          <w:sz w:val="32"/>
          <w:szCs w:val="32"/>
          <w:highlight w:val="none"/>
          <w:shd w:val="clear"/>
          <w:lang w:eastAsia="zh-CN" w:bidi="ar"/>
        </w:rPr>
        <w:t>；</w:t>
      </w:r>
      <w:r>
        <w:rPr>
          <w:rFonts w:hint="eastAsia" w:ascii="仿宋_GB2312" w:hAnsi="仿宋_GB2312" w:eastAsia="仿宋_GB2312" w:cs="仿宋_GB2312"/>
          <w:i w:val="0"/>
          <w:caps w:val="0"/>
          <w:color w:val="auto"/>
          <w:spacing w:val="0"/>
          <w:sz w:val="32"/>
          <w:szCs w:val="32"/>
          <w:highlight w:val="none"/>
          <w:shd w:val="clear"/>
          <w:lang w:val="en-US" w:eastAsia="zh-CN" w:bidi="ar"/>
        </w:rPr>
        <w:t>源</w:t>
      </w:r>
      <w:r>
        <w:rPr>
          <w:rFonts w:hint="eastAsia" w:ascii="仿宋_GB2312" w:hAnsi="仿宋_GB2312" w:eastAsia="仿宋_GB2312" w:cs="仿宋_GB2312"/>
          <w:i w:val="0"/>
          <w:caps w:val="0"/>
          <w:color w:val="auto"/>
          <w:spacing w:val="0"/>
          <w:sz w:val="32"/>
          <w:szCs w:val="32"/>
          <w:highlight w:val="none"/>
          <w:shd w:val="clear"/>
          <w:lang w:bidi="ar"/>
        </w:rPr>
        <w:t>临尚品</w:t>
      </w:r>
      <w:r>
        <w:rPr>
          <w:rFonts w:hint="eastAsia" w:ascii="仿宋_GB2312" w:hAnsi="仿宋_GB2312" w:eastAsia="仿宋_GB2312" w:cs="仿宋_GB2312"/>
          <w:i w:val="0"/>
          <w:caps w:val="0"/>
          <w:color w:val="auto"/>
          <w:spacing w:val="0"/>
          <w:sz w:val="32"/>
          <w:szCs w:val="32"/>
          <w:highlight w:val="none"/>
          <w:shd w:val="clear"/>
          <w:lang w:val="en-US" w:eastAsia="zh-CN" w:bidi="ar"/>
        </w:rPr>
        <w:t>获</w:t>
      </w:r>
      <w:r>
        <w:rPr>
          <w:rFonts w:hint="eastAsia" w:ascii="仿宋_GB2312" w:hAnsi="仿宋_GB2312" w:eastAsia="仿宋_GB2312" w:cs="仿宋_GB2312"/>
          <w:b w:val="0"/>
          <w:i w:val="0"/>
          <w:caps w:val="0"/>
          <w:color w:val="auto"/>
          <w:spacing w:val="0"/>
          <w:sz w:val="32"/>
          <w:szCs w:val="32"/>
          <w:highlight w:val="none"/>
          <w:shd w:val="clear"/>
          <w:lang w:bidi="ar"/>
        </w:rPr>
        <w:t>市优秀农产品电商</w:t>
      </w:r>
      <w:r>
        <w:rPr>
          <w:rFonts w:hint="eastAsia" w:ascii="仿宋_GB2312" w:hAnsi="仿宋_GB2312" w:eastAsia="仿宋_GB2312" w:cs="仿宋_GB2312"/>
          <w:b w:val="0"/>
          <w:i w:val="0"/>
          <w:caps w:val="0"/>
          <w:color w:val="auto"/>
          <w:spacing w:val="0"/>
          <w:sz w:val="32"/>
          <w:szCs w:val="32"/>
          <w:highlight w:val="none"/>
          <w:shd w:val="clear"/>
          <w:lang w:eastAsia="zh-CN" w:bidi="ar"/>
        </w:rPr>
        <w:t>；</w:t>
      </w:r>
      <w:r>
        <w:rPr>
          <w:rFonts w:hint="eastAsia" w:ascii="仿宋_GB2312" w:hAnsi="仿宋_GB2312" w:eastAsia="仿宋_GB2312" w:cs="仿宋_GB2312"/>
          <w:i w:val="0"/>
          <w:caps w:val="0"/>
          <w:color w:val="auto"/>
          <w:spacing w:val="0"/>
          <w:sz w:val="32"/>
          <w:szCs w:val="32"/>
          <w:highlight w:val="none"/>
          <w:shd w:val="clear"/>
          <w:lang w:bidi="ar"/>
        </w:rPr>
        <w:t>李定琴</w:t>
      </w:r>
      <w:r>
        <w:rPr>
          <w:rFonts w:hint="eastAsia" w:ascii="仿宋_GB2312" w:hAnsi="仿宋_GB2312" w:eastAsia="仿宋_GB2312" w:cs="仿宋_GB2312"/>
          <w:i w:val="0"/>
          <w:caps w:val="0"/>
          <w:color w:val="auto"/>
          <w:spacing w:val="0"/>
          <w:sz w:val="32"/>
          <w:szCs w:val="32"/>
          <w:highlight w:val="none"/>
          <w:shd w:val="clear"/>
          <w:lang w:eastAsia="zh-CN" w:bidi="ar"/>
        </w:rPr>
        <w:t>（</w:t>
      </w:r>
      <w:r>
        <w:rPr>
          <w:rFonts w:hint="eastAsia" w:ascii="仿宋_GB2312" w:hAnsi="仿宋_GB2312" w:eastAsia="仿宋_GB2312" w:cs="仿宋_GB2312"/>
          <w:i w:val="0"/>
          <w:caps w:val="0"/>
          <w:color w:val="auto"/>
          <w:spacing w:val="0"/>
          <w:sz w:val="32"/>
          <w:szCs w:val="32"/>
          <w:highlight w:val="none"/>
          <w:shd w:val="clear"/>
          <w:lang w:bidi="ar"/>
        </w:rPr>
        <w:t>圈内乡昔木村妇女主任，定琴蔬菜种植农民专业合作社理事长</w:t>
      </w:r>
      <w:r>
        <w:rPr>
          <w:rFonts w:hint="eastAsia" w:ascii="仿宋_GB2312" w:hAnsi="仿宋_GB2312" w:eastAsia="仿宋_GB2312" w:cs="仿宋_GB2312"/>
          <w:i w:val="0"/>
          <w:caps w:val="0"/>
          <w:color w:val="auto"/>
          <w:spacing w:val="0"/>
          <w:sz w:val="32"/>
          <w:szCs w:val="32"/>
          <w:highlight w:val="none"/>
          <w:shd w:val="clear"/>
          <w:lang w:eastAsia="zh-CN" w:bidi="ar"/>
        </w:rPr>
        <w:t>）</w:t>
      </w:r>
      <w:r>
        <w:rPr>
          <w:rFonts w:hint="eastAsia" w:ascii="仿宋_GB2312" w:hAnsi="仿宋_GB2312" w:eastAsia="仿宋_GB2312" w:cs="仿宋_GB2312"/>
          <w:i w:val="0"/>
          <w:caps w:val="0"/>
          <w:color w:val="auto"/>
          <w:spacing w:val="0"/>
          <w:sz w:val="32"/>
          <w:szCs w:val="32"/>
          <w:highlight w:val="none"/>
          <w:shd w:val="clear"/>
          <w:lang w:val="en-US" w:eastAsia="zh-CN" w:bidi="ar"/>
        </w:rPr>
        <w:t>获</w:t>
      </w:r>
      <w:r>
        <w:rPr>
          <w:rFonts w:hint="eastAsia" w:ascii="仿宋_GB2312" w:hAnsi="仿宋_GB2312" w:eastAsia="仿宋_GB2312" w:cs="仿宋_GB2312"/>
          <w:b w:val="0"/>
          <w:i w:val="0"/>
          <w:caps w:val="0"/>
          <w:color w:val="auto"/>
          <w:spacing w:val="0"/>
          <w:sz w:val="32"/>
          <w:szCs w:val="32"/>
          <w:highlight w:val="none"/>
          <w:shd w:val="clear"/>
          <w:lang w:bidi="ar"/>
        </w:rPr>
        <w:t>市十佳新型职业农民</w:t>
      </w:r>
      <w:r>
        <w:rPr>
          <w:rFonts w:hint="eastAsia" w:ascii="仿宋_GB2312" w:hAnsi="仿宋_GB2312" w:eastAsia="仿宋_GB2312" w:cs="仿宋_GB2312"/>
          <w:b w:val="0"/>
          <w:bCs w:val="0"/>
          <w:color w:val="auto"/>
          <w:kern w:val="2"/>
          <w:sz w:val="32"/>
          <w:szCs w:val="32"/>
          <w:highlight w:val="none"/>
          <w:lang w:eastAsia="zh-CN" w:bidi="ar"/>
        </w:rPr>
        <w:t>。</w:t>
      </w:r>
    </w:p>
    <w:p>
      <w:pPr>
        <w:keepNext w:val="0"/>
        <w:keepLines w:val="0"/>
        <w:pageBreakBefore w:val="0"/>
        <w:widowControl w:val="0"/>
        <w:numPr>
          <w:ilvl w:val="0"/>
          <w:numId w:val="0"/>
        </w:numPr>
        <w:pBdr>
          <w:bottom w:val="single" w:color="FFFFFF" w:sz="4" w:space="28"/>
        </w:pBdr>
        <w:shd w:val="clear"/>
        <w:kinsoku/>
        <w:wordWrap/>
        <w:overflowPunct/>
        <w:topLinePunct w:val="0"/>
        <w:autoSpaceDE/>
        <w:autoSpaceDN/>
        <w:bidi w:val="0"/>
        <w:spacing w:line="560" w:lineRule="exact"/>
        <w:ind w:left="0" w:leftChars="0" w:right="0" w:rightChars="0" w:firstLine="643" w:firstLineChars="200"/>
        <w:jc w:val="both"/>
        <w:textAlignment w:val="baseline"/>
        <w:outlineLvl w:val="9"/>
        <w:rPr>
          <w:rFonts w:hint="eastAsia" w:ascii="仿宋_GB2312" w:hAnsi="仿宋_GB2312" w:eastAsia="仿宋_GB2312" w:cs="仿宋_GB2312"/>
          <w:color w:val="auto"/>
          <w:sz w:val="32"/>
          <w:szCs w:val="32"/>
          <w:highlight w:val="none"/>
          <w:shd w:val="clear"/>
        </w:rPr>
      </w:pPr>
      <w:r>
        <w:rPr>
          <w:rFonts w:hint="eastAsia" w:ascii="楷体_GB2312" w:hAnsi="楷体_GB2312" w:eastAsia="楷体_GB2312" w:cs="楷体_GB2312"/>
          <w:b/>
          <w:bCs/>
          <w:color w:val="auto"/>
          <w:kern w:val="0"/>
          <w:sz w:val="32"/>
          <w:szCs w:val="32"/>
          <w:highlight w:val="none"/>
          <w:shd w:val="clear"/>
          <w:lang w:eastAsia="zh-CN" w:bidi="ar"/>
        </w:rPr>
        <w:t>（</w:t>
      </w:r>
      <w:r>
        <w:rPr>
          <w:rFonts w:hint="eastAsia" w:ascii="楷体_GB2312" w:hAnsi="楷体_GB2312" w:eastAsia="楷体_GB2312" w:cs="楷体_GB2312"/>
          <w:b/>
          <w:bCs/>
          <w:color w:val="auto"/>
          <w:kern w:val="0"/>
          <w:sz w:val="32"/>
          <w:szCs w:val="32"/>
          <w:highlight w:val="none"/>
          <w:shd w:val="clear"/>
          <w:lang w:val="en-US" w:eastAsia="zh-CN" w:bidi="ar"/>
        </w:rPr>
        <w:t>六</w:t>
      </w:r>
      <w:r>
        <w:rPr>
          <w:rFonts w:hint="eastAsia" w:ascii="楷体_GB2312" w:hAnsi="楷体_GB2312" w:eastAsia="楷体_GB2312" w:cs="楷体_GB2312"/>
          <w:b/>
          <w:bCs/>
          <w:color w:val="auto"/>
          <w:kern w:val="0"/>
          <w:sz w:val="32"/>
          <w:szCs w:val="32"/>
          <w:highlight w:val="none"/>
          <w:shd w:val="clear"/>
          <w:lang w:eastAsia="zh-CN" w:bidi="ar"/>
        </w:rPr>
        <w:t>）</w:t>
      </w:r>
      <w:r>
        <w:rPr>
          <w:rFonts w:hint="eastAsia" w:ascii="楷体_GB2312" w:hAnsi="楷体_GB2312" w:eastAsia="楷体_GB2312" w:cs="楷体_GB2312"/>
          <w:b/>
          <w:bCs/>
          <w:color w:val="auto"/>
          <w:kern w:val="0"/>
          <w:sz w:val="32"/>
          <w:szCs w:val="32"/>
          <w:highlight w:val="none"/>
          <w:shd w:val="clear"/>
          <w:lang w:val="en-US" w:eastAsia="zh-CN" w:bidi="ar"/>
        </w:rPr>
        <w:t>营商环境持续更加优化。</w:t>
      </w:r>
      <w:r>
        <w:rPr>
          <w:rFonts w:hint="eastAsia" w:ascii="仿宋_GB2312" w:hAnsi="仿宋_GB2312" w:eastAsia="仿宋_GB2312" w:cs="仿宋_GB2312"/>
          <w:b/>
          <w:bCs/>
          <w:color w:val="auto"/>
          <w:kern w:val="0"/>
          <w:sz w:val="32"/>
          <w:szCs w:val="32"/>
          <w:highlight w:val="none"/>
          <w:shd w:val="clear"/>
          <w:lang w:val="en-US" w:eastAsia="zh-CN"/>
        </w:rPr>
        <w:t>一是</w:t>
      </w:r>
      <w:r>
        <w:rPr>
          <w:rFonts w:hint="eastAsia" w:ascii="仿宋_GB2312" w:hAnsi="仿宋_GB2312" w:eastAsia="仿宋_GB2312" w:cs="仿宋_GB2312"/>
          <w:b w:val="0"/>
          <w:bCs w:val="0"/>
          <w:color w:val="auto"/>
          <w:kern w:val="0"/>
          <w:sz w:val="32"/>
          <w:szCs w:val="32"/>
          <w:highlight w:val="none"/>
          <w:shd w:val="clear"/>
          <w:lang w:val="en-US" w:eastAsia="zh-CN"/>
        </w:rPr>
        <w:t>落实深化“放管服”改革优化营商环境各项决策部署。</w:t>
      </w:r>
      <w:r>
        <w:rPr>
          <w:rFonts w:hint="eastAsia" w:ascii="仿宋_GB2312" w:hAnsi="仿宋_GB2312" w:eastAsia="仿宋_GB2312" w:cs="仿宋_GB2312"/>
          <w:b w:val="0"/>
          <w:bCs w:val="0"/>
          <w:color w:val="auto"/>
          <w:kern w:val="0"/>
          <w:sz w:val="32"/>
          <w:szCs w:val="32"/>
          <w:lang w:val="en-US" w:eastAsia="zh-CN"/>
        </w:rPr>
        <w:t>推进“智慧政务”建设，</w:t>
      </w:r>
      <w:r>
        <w:rPr>
          <w:rFonts w:hint="eastAsia" w:ascii="仿宋_GB2312" w:hAnsi="仿宋_GB2312" w:eastAsia="仿宋_GB2312" w:cs="仿宋_GB2312"/>
          <w:color w:val="auto"/>
          <w:kern w:val="0"/>
          <w:sz w:val="32"/>
          <w:szCs w:val="32"/>
          <w:highlight w:val="none"/>
          <w:shd w:val="clear"/>
          <w:lang w:val="en-US" w:eastAsia="zh-CN"/>
        </w:rPr>
        <w:t>开展“</w:t>
      </w:r>
      <w:r>
        <w:rPr>
          <w:rFonts w:hint="eastAsia" w:ascii="仿宋_GB2312" w:hAnsi="仿宋_GB2312" w:eastAsia="仿宋_GB2312" w:cs="仿宋_GB2312"/>
          <w:color w:val="auto"/>
          <w:sz w:val="32"/>
          <w:szCs w:val="32"/>
          <w:highlight w:val="none"/>
          <w:shd w:val="clear"/>
          <w:lang w:val="en-US" w:eastAsia="zh-CN"/>
        </w:rPr>
        <w:t>互联网＋政务服务”，提高“一部手机办事通”利用率，</w:t>
      </w:r>
      <w:r>
        <w:rPr>
          <w:rFonts w:hint="eastAsia" w:ascii="仿宋_GB2312" w:hAnsi="仿宋_GB2312" w:eastAsia="仿宋_GB2312" w:cs="仿宋_GB2312"/>
          <w:b w:val="0"/>
          <w:bCs w:val="0"/>
          <w:color w:val="auto"/>
          <w:kern w:val="0"/>
          <w:sz w:val="32"/>
          <w:szCs w:val="32"/>
          <w:lang w:val="en-US" w:eastAsia="zh-CN"/>
        </w:rPr>
        <w:t>全区10个乡（镇、街道）和32个区直部门权责清单修改公布。政府采购服务水平不断提升，公共资源交易平台整合取得新实效。</w:t>
      </w:r>
      <w:r>
        <w:rPr>
          <w:rFonts w:hint="eastAsia" w:ascii="仿宋_GB2312" w:hAnsi="仿宋_GB2312" w:eastAsia="仿宋_GB2312" w:cs="仿宋_GB2312"/>
          <w:b/>
          <w:bCs/>
          <w:color w:val="auto"/>
          <w:kern w:val="0"/>
          <w:sz w:val="32"/>
          <w:szCs w:val="32"/>
          <w:lang w:val="en-US" w:eastAsia="zh-CN"/>
        </w:rPr>
        <w:t>二是</w:t>
      </w:r>
      <w:r>
        <w:rPr>
          <w:rFonts w:hint="eastAsia" w:ascii="仿宋_GB2312" w:hAnsi="仿宋_GB2312" w:eastAsia="仿宋_GB2312" w:cs="仿宋_GB2312"/>
          <w:b w:val="0"/>
          <w:bCs w:val="0"/>
          <w:color w:val="auto"/>
          <w:kern w:val="2"/>
          <w:sz w:val="32"/>
          <w:szCs w:val="32"/>
          <w:highlight w:val="none"/>
          <w:lang w:val="en-US" w:eastAsia="zh-CN" w:bidi="ar"/>
        </w:rPr>
        <w:t>全面落实减税降费政策措施，</w:t>
      </w:r>
      <w:r>
        <w:rPr>
          <w:rFonts w:hint="eastAsia" w:ascii="仿宋_GB2312" w:hAnsi="仿宋_GB2312" w:eastAsia="仿宋_GB2312" w:cs="仿宋_GB2312"/>
          <w:color w:val="auto"/>
          <w:sz w:val="32"/>
          <w:szCs w:val="32"/>
          <w:highlight w:val="none"/>
          <w:lang w:val="en-US" w:eastAsia="zh-CN" w:bidi="ar"/>
        </w:rPr>
        <w:t>累计减税降费1.64亿元，其中：减税0.45亿元，降费1.19亿元。</w:t>
      </w:r>
      <w:r>
        <w:rPr>
          <w:rFonts w:hint="eastAsia" w:ascii="仿宋_GB2312" w:hAnsi="仿宋_GB2312" w:eastAsia="仿宋_GB2312" w:cs="仿宋_GB2312"/>
          <w:b/>
          <w:bCs/>
          <w:color w:val="auto"/>
          <w:sz w:val="32"/>
          <w:szCs w:val="32"/>
          <w:lang w:val="en-US" w:eastAsia="zh-CN"/>
        </w:rPr>
        <w:t>三</w:t>
      </w:r>
      <w:r>
        <w:rPr>
          <w:rFonts w:hint="eastAsia" w:ascii="仿宋_GB2312" w:hAnsi="仿宋_GB2312" w:eastAsia="仿宋_GB2312" w:cs="仿宋_GB2312"/>
          <w:b/>
          <w:bCs/>
          <w:color w:val="auto"/>
          <w:sz w:val="32"/>
          <w:szCs w:val="32"/>
          <w:highlight w:val="none"/>
          <w:shd w:val="clear"/>
          <w:lang w:val="en-US" w:eastAsia="zh-CN"/>
        </w:rPr>
        <w:t>是</w:t>
      </w:r>
      <w:r>
        <w:rPr>
          <w:rFonts w:hint="eastAsia" w:ascii="仿宋_GB2312" w:hAnsi="仿宋_GB2312" w:eastAsia="仿宋_GB2312" w:cs="仿宋_GB2312"/>
          <w:color w:val="auto"/>
          <w:sz w:val="32"/>
          <w:szCs w:val="32"/>
          <w:highlight w:val="none"/>
          <w:shd w:val="clear"/>
          <w:lang w:val="en-US" w:eastAsia="zh-CN"/>
        </w:rPr>
        <w:t>市场主体不断发展壮大，</w:t>
      </w:r>
      <w:r>
        <w:rPr>
          <w:rFonts w:hint="eastAsia" w:ascii="仿宋_GB2312" w:hAnsi="仿宋_GB2312" w:eastAsia="仿宋_GB2312" w:cs="仿宋_GB2312"/>
          <w:b w:val="0"/>
          <w:bCs w:val="0"/>
          <w:color w:val="auto"/>
          <w:sz w:val="32"/>
          <w:szCs w:val="32"/>
          <w:lang w:val="en-US" w:eastAsia="zh-CN"/>
        </w:rPr>
        <w:t>累计登记市场主体34541户，其中：企业6859户，个体工商户27219户，农民专业合作社463户。</w:t>
      </w:r>
      <w:r>
        <w:rPr>
          <w:rFonts w:hint="eastAsia" w:ascii="仿宋_GB2312" w:hAnsi="仿宋_GB2312" w:eastAsia="仿宋_GB2312" w:cs="仿宋_GB2312"/>
          <w:color w:val="auto"/>
          <w:sz w:val="32"/>
          <w:szCs w:val="32"/>
          <w:highlight w:val="none"/>
          <w:lang w:val="en-US" w:eastAsia="zh-CN"/>
        </w:rPr>
        <w:t>年内共培育升规升限企业54户，其中：批发业6户、零售业9户、住宿业4户、餐饮业4户、重点服务业7户、</w:t>
      </w:r>
      <w:r>
        <w:rPr>
          <w:rFonts w:hint="eastAsia" w:ascii="仿宋_GB2312" w:hAnsi="仿宋_GB2312" w:eastAsia="仿宋_GB2312" w:cs="仿宋_GB2312"/>
          <w:b w:val="0"/>
          <w:bCs w:val="0"/>
          <w:color w:val="auto"/>
          <w:sz w:val="32"/>
          <w:szCs w:val="32"/>
          <w:highlight w:val="none"/>
          <w:lang w:val="en-US" w:eastAsia="zh-CN"/>
        </w:rPr>
        <w:t>资质以上建筑业17户、</w:t>
      </w:r>
      <w:r>
        <w:rPr>
          <w:rFonts w:hint="eastAsia" w:ascii="仿宋_GB2312" w:hAnsi="仿宋_GB2312" w:eastAsia="仿宋_GB2312" w:cs="仿宋_GB2312"/>
          <w:color w:val="auto"/>
          <w:sz w:val="32"/>
          <w:szCs w:val="32"/>
          <w:highlight w:val="none"/>
          <w:lang w:val="en-US" w:eastAsia="zh-CN"/>
        </w:rPr>
        <w:t>规上工业企业7户。</w:t>
      </w:r>
    </w:p>
    <w:p>
      <w:pPr>
        <w:keepNext w:val="0"/>
        <w:keepLines w:val="0"/>
        <w:pageBreakBefore w:val="0"/>
        <w:widowControl w:val="0"/>
        <w:numPr>
          <w:ilvl w:val="0"/>
          <w:numId w:val="0"/>
        </w:numPr>
        <w:pBdr>
          <w:bottom w:val="single" w:color="FFFFFF" w:sz="4" w:space="28"/>
        </w:pBdr>
        <w:shd w:val="clear"/>
        <w:kinsoku/>
        <w:wordWrap/>
        <w:overflowPunct/>
        <w:topLinePunct w:val="0"/>
        <w:autoSpaceDE/>
        <w:autoSpaceDN/>
        <w:bidi w:val="0"/>
        <w:adjustRightInd/>
        <w:snapToGrid/>
        <w:spacing w:line="560" w:lineRule="exact"/>
        <w:ind w:leftChars="0" w:firstLine="643" w:firstLineChars="200"/>
        <w:textAlignment w:val="baseline"/>
        <w:outlineLvl w:val="9"/>
        <w:rPr>
          <w:rFonts w:hint="eastAsia" w:ascii="仿宋_GB2312" w:hAnsi="仿宋_GB2312" w:eastAsia="仿宋_GB2312" w:cs="仿宋_GB2312"/>
          <w:color w:val="auto"/>
          <w:sz w:val="32"/>
          <w:szCs w:val="32"/>
          <w:highlight w:val="none"/>
          <w:shd w:val="clear"/>
          <w:lang w:val="en-US" w:eastAsia="zh-CN"/>
        </w:rPr>
      </w:pPr>
      <w:r>
        <w:rPr>
          <w:rFonts w:hint="eastAsia" w:ascii="楷体_GB2312" w:hAnsi="楷体_GB2312" w:eastAsia="楷体_GB2312" w:cs="楷体_GB2312"/>
          <w:b/>
          <w:bCs/>
          <w:color w:val="auto"/>
          <w:kern w:val="0"/>
          <w:sz w:val="32"/>
          <w:szCs w:val="32"/>
          <w:highlight w:val="none"/>
          <w:shd w:val="clear"/>
          <w:lang w:val="en-US" w:eastAsia="zh-CN" w:bidi="ar"/>
        </w:rPr>
        <w:t>（七）生态文明建设步伐加快。</w:t>
      </w:r>
      <w:r>
        <w:rPr>
          <w:rFonts w:hint="eastAsia" w:ascii="仿宋_GB2312" w:hAnsi="仿宋_GB2312" w:eastAsia="仿宋_GB2312" w:cs="仿宋_GB2312"/>
          <w:b/>
          <w:bCs/>
          <w:color w:val="auto"/>
          <w:sz w:val="32"/>
          <w:szCs w:val="32"/>
          <w:highlight w:val="none"/>
          <w:shd w:val="clear"/>
          <w:lang w:val="en-US" w:eastAsia="zh-CN"/>
        </w:rPr>
        <w:t>一是全面推进国家卫生城市创建</w:t>
      </w:r>
      <w:r>
        <w:rPr>
          <w:rFonts w:hint="eastAsia" w:ascii="仿宋_GB2312" w:hAnsi="仿宋_GB2312" w:eastAsia="仿宋_GB2312" w:cs="仿宋_GB2312"/>
          <w:b w:val="0"/>
          <w:bCs w:val="0"/>
          <w:color w:val="auto"/>
          <w:sz w:val="32"/>
          <w:szCs w:val="32"/>
          <w:highlight w:val="none"/>
          <w:shd w:val="clear"/>
          <w:lang w:val="en-US" w:eastAsia="zh-CN"/>
        </w:rPr>
        <w:t>。</w:t>
      </w:r>
      <w:r>
        <w:rPr>
          <w:rFonts w:hint="eastAsia" w:ascii="仿宋_GB2312" w:hAnsi="仿宋_GB2312" w:eastAsia="仿宋_GB2312" w:cs="仿宋_GB2312"/>
          <w:bCs w:val="0"/>
          <w:color w:val="auto"/>
          <w:sz w:val="32"/>
          <w:szCs w:val="32"/>
          <w:highlight w:val="none"/>
          <w:shd w:val="clear"/>
          <w:lang w:val="en-US" w:eastAsia="zh-CN"/>
        </w:rPr>
        <w:t>以</w:t>
      </w:r>
      <w:r>
        <w:rPr>
          <w:rFonts w:hint="eastAsia" w:ascii="仿宋_GB2312" w:hAnsi="仿宋_GB2312" w:eastAsia="仿宋_GB2312" w:cs="仿宋_GB2312"/>
          <w:bCs w:val="0"/>
          <w:color w:val="auto"/>
          <w:sz w:val="32"/>
          <w:szCs w:val="32"/>
          <w:highlight w:val="none"/>
          <w:shd w:val="clear"/>
        </w:rPr>
        <w:t>爱国卫生</w:t>
      </w:r>
      <w:r>
        <w:rPr>
          <w:rFonts w:hint="eastAsia" w:ascii="仿宋_GB2312" w:hAnsi="仿宋_GB2312" w:eastAsia="仿宋_GB2312" w:cs="仿宋_GB2312"/>
          <w:bCs w:val="0"/>
          <w:color w:val="auto"/>
          <w:sz w:val="32"/>
          <w:szCs w:val="32"/>
          <w:highlight w:val="none"/>
          <w:shd w:val="clear"/>
          <w:lang w:eastAsia="zh-CN"/>
        </w:rPr>
        <w:t>“</w:t>
      </w:r>
      <w:r>
        <w:rPr>
          <w:rFonts w:hint="eastAsia" w:ascii="仿宋_GB2312" w:hAnsi="仿宋_GB2312" w:eastAsia="仿宋_GB2312" w:cs="仿宋_GB2312"/>
          <w:bCs w:val="0"/>
          <w:color w:val="auto"/>
          <w:sz w:val="32"/>
          <w:szCs w:val="32"/>
          <w:highlight w:val="none"/>
          <w:shd w:val="clear"/>
        </w:rPr>
        <w:t>7个专项行动</w:t>
      </w:r>
      <w:r>
        <w:rPr>
          <w:rFonts w:hint="eastAsia" w:ascii="仿宋_GB2312" w:hAnsi="仿宋_GB2312" w:eastAsia="仿宋_GB2312" w:cs="仿宋_GB2312"/>
          <w:bCs w:val="0"/>
          <w:color w:val="auto"/>
          <w:sz w:val="32"/>
          <w:szCs w:val="32"/>
          <w:highlight w:val="none"/>
          <w:shd w:val="clear"/>
          <w:lang w:eastAsia="zh-CN"/>
        </w:rPr>
        <w:t>”</w:t>
      </w:r>
      <w:r>
        <w:rPr>
          <w:rFonts w:hint="eastAsia" w:ascii="仿宋_GB2312" w:hAnsi="仿宋_GB2312" w:eastAsia="仿宋_GB2312" w:cs="仿宋_GB2312"/>
          <w:bCs w:val="0"/>
          <w:color w:val="auto"/>
          <w:sz w:val="32"/>
          <w:szCs w:val="32"/>
          <w:highlight w:val="none"/>
          <w:shd w:val="clear"/>
          <w:lang w:val="en-US" w:eastAsia="zh-CN"/>
        </w:rPr>
        <w:t>为抓手，全面推进国家卫生城市创建工作。创建无烟单位</w:t>
      </w:r>
      <w:r>
        <w:rPr>
          <w:rFonts w:hint="eastAsia" w:ascii="仿宋_GB2312" w:hAnsi="仿宋_GB2312" w:eastAsia="仿宋_GB2312" w:cs="仿宋_GB2312"/>
          <w:b w:val="0"/>
          <w:bCs w:val="0"/>
          <w:color w:val="auto"/>
          <w:sz w:val="32"/>
          <w:szCs w:val="32"/>
          <w:highlight w:val="none"/>
          <w:shd w:val="clear"/>
          <w:lang w:val="en-US" w:eastAsia="zh-CN"/>
        </w:rPr>
        <w:t>119个，其中：无烟党政机关77个、</w:t>
      </w:r>
      <w:r>
        <w:rPr>
          <w:rFonts w:hint="eastAsia" w:ascii="仿宋_GB2312" w:hAnsi="仿宋_GB2312" w:eastAsia="仿宋_GB2312" w:cs="仿宋_GB2312"/>
          <w:bCs w:val="0"/>
          <w:color w:val="auto"/>
          <w:sz w:val="32"/>
          <w:szCs w:val="32"/>
          <w:highlight w:val="none"/>
          <w:shd w:val="clear"/>
          <w:lang w:val="en-US" w:eastAsia="zh-CN"/>
        </w:rPr>
        <w:t>无烟医院19个、无烟学校23所。</w:t>
      </w:r>
      <w:r>
        <w:rPr>
          <w:rFonts w:hint="eastAsia" w:ascii="仿宋_GB2312" w:hAnsi="仿宋_GB2312" w:eastAsia="仿宋_GB2312" w:cs="仿宋_GB2312"/>
          <w:color w:val="auto"/>
          <w:sz w:val="32"/>
          <w:szCs w:val="32"/>
          <w:highlight w:val="none"/>
        </w:rPr>
        <w:t>国家卫生城市创建通过省级评估验收</w:t>
      </w:r>
      <w:r>
        <w:rPr>
          <w:rFonts w:hint="eastAsia" w:ascii="仿宋_GB2312" w:hAnsi="仿宋_GB2312" w:eastAsia="仿宋_GB2312" w:cs="仿宋_GB2312"/>
          <w:bCs w:val="0"/>
          <w:color w:val="auto"/>
          <w:sz w:val="32"/>
          <w:szCs w:val="32"/>
          <w:highlight w:val="none"/>
          <w:shd w:val="clear"/>
          <w:lang w:val="en-US" w:eastAsia="zh-CN"/>
        </w:rPr>
        <w:t>。</w:t>
      </w:r>
      <w:r>
        <w:rPr>
          <w:rFonts w:hint="eastAsia" w:ascii="仿宋_GB2312" w:hAnsi="仿宋_GB2312" w:eastAsia="仿宋_GB2312" w:cs="仿宋_GB2312"/>
          <w:b/>
          <w:bCs w:val="0"/>
          <w:color w:val="auto"/>
          <w:sz w:val="32"/>
          <w:szCs w:val="32"/>
          <w:highlight w:val="none"/>
          <w:shd w:val="clear"/>
          <w:lang w:val="en-US" w:eastAsia="zh-CN"/>
        </w:rPr>
        <w:t>二是人居环境得到较大提升</w:t>
      </w:r>
      <w:r>
        <w:rPr>
          <w:rFonts w:hint="eastAsia" w:ascii="仿宋_GB2312" w:hAnsi="仿宋_GB2312" w:eastAsia="仿宋_GB2312" w:cs="仿宋_GB2312"/>
          <w:bCs/>
          <w:color w:val="auto"/>
          <w:sz w:val="32"/>
          <w:szCs w:val="32"/>
          <w:highlight w:val="none"/>
          <w:shd w:val="clear"/>
          <w:lang w:val="en-US" w:eastAsia="zh-CN"/>
        </w:rPr>
        <w:t>。主城区累计</w:t>
      </w:r>
      <w:r>
        <w:rPr>
          <w:rFonts w:hint="eastAsia" w:ascii="仿宋_GB2312" w:hAnsi="仿宋_GB2312" w:eastAsia="仿宋_GB2312" w:cs="仿宋_GB2312"/>
          <w:bCs w:val="0"/>
          <w:color w:val="auto"/>
          <w:sz w:val="32"/>
          <w:szCs w:val="32"/>
          <w:highlight w:val="none"/>
          <w:shd w:val="clear"/>
          <w:lang w:val="en-US" w:eastAsia="zh-CN"/>
        </w:rPr>
        <w:t>安装路灯12755盏，明亮率达95%以上；主城区更换垃圾桶920个，设置垃圾分类亭66座，</w:t>
      </w:r>
      <w:r>
        <w:rPr>
          <w:rFonts w:hint="eastAsia" w:ascii="仿宋_GB2312" w:hAnsi="仿宋_GB2312" w:eastAsia="仿宋_GB2312" w:cs="仿宋_GB2312"/>
          <w:bCs w:val="0"/>
          <w:color w:val="auto"/>
          <w:sz w:val="32"/>
          <w:szCs w:val="32"/>
          <w:highlight w:val="none"/>
          <w:shd w:val="clear"/>
        </w:rPr>
        <w:t>划定</w:t>
      </w:r>
      <w:r>
        <w:rPr>
          <w:rFonts w:hint="eastAsia" w:ascii="仿宋_GB2312" w:hAnsi="仿宋_GB2312" w:eastAsia="仿宋_GB2312" w:cs="仿宋_GB2312"/>
          <w:bCs w:val="0"/>
          <w:color w:val="auto"/>
          <w:sz w:val="32"/>
          <w:szCs w:val="32"/>
          <w:highlight w:val="none"/>
          <w:shd w:val="clear"/>
          <w:lang w:eastAsia="zh-CN"/>
        </w:rPr>
        <w:t>“</w:t>
      </w:r>
      <w:r>
        <w:rPr>
          <w:rFonts w:hint="eastAsia" w:ascii="仿宋_GB2312" w:hAnsi="仿宋_GB2312" w:eastAsia="仿宋_GB2312" w:cs="仿宋_GB2312"/>
          <w:bCs w:val="0"/>
          <w:color w:val="auto"/>
          <w:sz w:val="32"/>
          <w:szCs w:val="32"/>
          <w:highlight w:val="none"/>
          <w:shd w:val="clear"/>
        </w:rPr>
        <w:t>三车</w:t>
      </w:r>
      <w:r>
        <w:rPr>
          <w:rFonts w:hint="eastAsia" w:ascii="仿宋_GB2312" w:hAnsi="仿宋_GB2312" w:eastAsia="仿宋_GB2312" w:cs="仿宋_GB2312"/>
          <w:bCs w:val="0"/>
          <w:color w:val="auto"/>
          <w:sz w:val="32"/>
          <w:szCs w:val="32"/>
          <w:highlight w:val="none"/>
          <w:shd w:val="clear"/>
          <w:lang w:eastAsia="zh-CN"/>
        </w:rPr>
        <w:t>”</w:t>
      </w:r>
      <w:r>
        <w:rPr>
          <w:rFonts w:hint="eastAsia" w:ascii="仿宋_GB2312" w:hAnsi="仿宋_GB2312" w:eastAsia="仿宋_GB2312" w:cs="仿宋_GB2312"/>
          <w:bCs w:val="0"/>
          <w:color w:val="auto"/>
          <w:sz w:val="32"/>
          <w:szCs w:val="32"/>
          <w:highlight w:val="none"/>
          <w:shd w:val="clear"/>
        </w:rPr>
        <w:t>停放车位8000</w:t>
      </w:r>
      <w:r>
        <w:rPr>
          <w:rFonts w:hint="eastAsia" w:ascii="仿宋_GB2312" w:hAnsi="仿宋_GB2312" w:eastAsia="仿宋_GB2312" w:cs="仿宋_GB2312"/>
          <w:bCs w:val="0"/>
          <w:color w:val="auto"/>
          <w:sz w:val="32"/>
          <w:szCs w:val="32"/>
          <w:highlight w:val="none"/>
          <w:shd w:val="clear"/>
          <w:lang w:eastAsia="zh-CN"/>
        </w:rPr>
        <w:t>余</w:t>
      </w:r>
      <w:r>
        <w:rPr>
          <w:rFonts w:hint="eastAsia" w:ascii="仿宋_GB2312" w:hAnsi="仿宋_GB2312" w:eastAsia="仿宋_GB2312" w:cs="仿宋_GB2312"/>
          <w:bCs w:val="0"/>
          <w:color w:val="auto"/>
          <w:sz w:val="32"/>
          <w:szCs w:val="32"/>
          <w:highlight w:val="none"/>
          <w:shd w:val="clear"/>
        </w:rPr>
        <w:t>个，清理农村生活垃圾</w:t>
      </w:r>
      <w:r>
        <w:rPr>
          <w:rFonts w:hint="eastAsia" w:ascii="仿宋_GB2312" w:hAnsi="仿宋_GB2312" w:eastAsia="仿宋_GB2312" w:cs="仿宋_GB2312"/>
          <w:bCs w:val="0"/>
          <w:color w:val="auto"/>
          <w:sz w:val="32"/>
          <w:szCs w:val="32"/>
          <w:highlight w:val="none"/>
          <w:shd w:val="clear"/>
          <w:lang w:val="en-US" w:eastAsia="zh-CN"/>
        </w:rPr>
        <w:t>1.2万</w:t>
      </w:r>
      <w:r>
        <w:rPr>
          <w:rFonts w:hint="eastAsia" w:ascii="仿宋_GB2312" w:hAnsi="仿宋_GB2312" w:eastAsia="仿宋_GB2312" w:cs="仿宋_GB2312"/>
          <w:bCs w:val="0"/>
          <w:color w:val="auto"/>
          <w:sz w:val="32"/>
          <w:szCs w:val="32"/>
          <w:highlight w:val="none"/>
          <w:shd w:val="clear"/>
        </w:rPr>
        <w:t>吨</w:t>
      </w:r>
      <w:r>
        <w:rPr>
          <w:rFonts w:hint="eastAsia" w:ascii="仿宋_GB2312" w:hAnsi="仿宋_GB2312" w:eastAsia="仿宋_GB2312" w:cs="仿宋_GB2312"/>
          <w:bCs w:val="0"/>
          <w:color w:val="auto"/>
          <w:sz w:val="32"/>
          <w:szCs w:val="32"/>
          <w:highlight w:val="none"/>
          <w:shd w:val="clear"/>
          <w:lang w:eastAsia="zh-CN"/>
        </w:rPr>
        <w:t>，</w:t>
      </w:r>
      <w:r>
        <w:rPr>
          <w:rFonts w:hint="eastAsia" w:ascii="仿宋_GB2312" w:hAnsi="仿宋_GB2312" w:eastAsia="仿宋_GB2312" w:cs="仿宋_GB2312"/>
          <w:bCs w:val="0"/>
          <w:color w:val="auto"/>
          <w:sz w:val="32"/>
          <w:szCs w:val="32"/>
          <w:highlight w:val="none"/>
          <w:shd w:val="clear"/>
        </w:rPr>
        <w:t>畜禽养殖粪污等废弃物1848.86吨，改建卫生公厕13座、卫生户厕1800座。</w:t>
      </w:r>
      <w:r>
        <w:rPr>
          <w:rFonts w:hint="eastAsia" w:ascii="仿宋_GB2312" w:hAnsi="仿宋_GB2312" w:eastAsia="仿宋_GB2312" w:cs="仿宋_GB2312"/>
          <w:b w:val="0"/>
          <w:bCs w:val="0"/>
          <w:color w:val="auto"/>
          <w:sz w:val="32"/>
          <w:szCs w:val="32"/>
          <w:highlight w:val="none"/>
        </w:rPr>
        <w:t>累计获评美丽村庄53个，其中：省级9个，市级21个，区级23个，获评省级美丽村庄个数居全市第一。</w:t>
      </w:r>
      <w:r>
        <w:rPr>
          <w:rFonts w:hint="eastAsia" w:ascii="仿宋_GB2312" w:hAnsi="仿宋_GB2312" w:eastAsia="仿宋_GB2312" w:cs="仿宋_GB2312"/>
          <w:b/>
          <w:bCs w:val="0"/>
          <w:color w:val="auto"/>
          <w:sz w:val="32"/>
          <w:szCs w:val="32"/>
          <w:highlight w:val="none"/>
          <w:shd w:val="clear"/>
          <w:lang w:val="en-US" w:eastAsia="zh-CN"/>
        </w:rPr>
        <w:t>三是生态设施不断改善</w:t>
      </w:r>
      <w:r>
        <w:rPr>
          <w:rFonts w:hint="eastAsia" w:ascii="仿宋_GB2312" w:hAnsi="仿宋_GB2312" w:eastAsia="仿宋_GB2312" w:cs="仿宋_GB2312"/>
          <w:bCs/>
          <w:color w:val="auto"/>
          <w:sz w:val="32"/>
          <w:szCs w:val="32"/>
          <w:highlight w:val="none"/>
          <w:shd w:val="clear"/>
          <w:lang w:val="en-US" w:eastAsia="zh-CN"/>
        </w:rPr>
        <w:t>。</w:t>
      </w:r>
      <w:r>
        <w:rPr>
          <w:rFonts w:hint="eastAsia" w:ascii="仿宋_GB2312" w:hAnsi="仿宋_GB2312" w:eastAsia="仿宋_GB2312" w:cs="仿宋_GB2312"/>
          <w:color w:val="auto"/>
          <w:sz w:val="32"/>
          <w:szCs w:val="32"/>
          <w:lang w:val="en-US" w:eastAsia="zh-CN"/>
        </w:rPr>
        <w:t>生态环境监测站实验用房、</w:t>
      </w:r>
      <w:r>
        <w:rPr>
          <w:rFonts w:hint="eastAsia" w:ascii="仿宋_GB2312" w:hAnsi="仿宋_GB2312" w:eastAsia="仿宋_GB2312" w:cs="仿宋_GB2312"/>
          <w:color w:val="auto"/>
          <w:sz w:val="32"/>
          <w:szCs w:val="32"/>
          <w:highlight w:val="none"/>
          <w:shd w:val="clear"/>
          <w:lang w:val="en-US" w:eastAsia="zh-CN"/>
        </w:rPr>
        <w:t>南汀河临沧坝段闸坝改扩建等项目全面完工；博尚水库环境整治、南汀河临沧坝段治理工程（二期）加快推进；西河（勐旺河）小流域治理项目开工建设；实施整改复耕2.5万亩，新造林3万亩，</w:t>
      </w:r>
      <w:r>
        <w:rPr>
          <w:rFonts w:hint="eastAsia" w:ascii="仿宋_GB2312" w:hAnsi="仿宋_GB2312" w:eastAsia="仿宋_GB2312" w:cs="仿宋_GB2312"/>
          <w:color w:val="auto"/>
          <w:sz w:val="32"/>
          <w:szCs w:val="32"/>
          <w:highlight w:val="none"/>
        </w:rPr>
        <w:t>草原生态修复</w:t>
      </w:r>
      <w:r>
        <w:rPr>
          <w:rFonts w:hint="eastAsia" w:ascii="仿宋_GB2312" w:hAnsi="仿宋_GB2312" w:eastAsia="仿宋_GB2312" w:cs="仿宋_GB2312"/>
          <w:color w:val="auto"/>
          <w:sz w:val="32"/>
          <w:szCs w:val="32"/>
          <w:highlight w:val="none"/>
          <w:lang w:val="en-US" w:eastAsia="zh-CN"/>
        </w:rPr>
        <w:t>0.3万</w:t>
      </w:r>
      <w:r>
        <w:rPr>
          <w:rFonts w:hint="eastAsia" w:ascii="仿宋_GB2312" w:hAnsi="仿宋_GB2312" w:eastAsia="仿宋_GB2312" w:cs="仿宋_GB2312"/>
          <w:color w:val="auto"/>
          <w:sz w:val="32"/>
          <w:szCs w:val="32"/>
          <w:highlight w:val="none"/>
        </w:rPr>
        <w:t>亩</w:t>
      </w:r>
      <w:r>
        <w:rPr>
          <w:rFonts w:hint="eastAsia" w:ascii="仿宋_GB2312" w:hAnsi="仿宋_GB2312" w:eastAsia="仿宋_GB2312" w:cs="仿宋_GB2312"/>
          <w:color w:val="auto"/>
          <w:sz w:val="32"/>
          <w:szCs w:val="32"/>
          <w:highlight w:val="none"/>
          <w:shd w:val="clear"/>
          <w:lang w:val="en-US" w:eastAsia="zh-CN"/>
        </w:rPr>
        <w:t>。</w:t>
      </w:r>
      <w:r>
        <w:rPr>
          <w:rFonts w:hint="eastAsia" w:ascii="仿宋_GB2312" w:hAnsi="仿宋_GB2312" w:eastAsia="仿宋_GB2312" w:cs="仿宋_GB2312"/>
          <w:i w:val="0"/>
          <w:caps w:val="0"/>
          <w:color w:val="auto"/>
          <w:spacing w:val="0"/>
          <w:kern w:val="2"/>
          <w:sz w:val="32"/>
          <w:szCs w:val="32"/>
          <w:highlight w:val="none"/>
          <w:shd w:val="clear"/>
          <w:lang w:val="en-US" w:eastAsia="zh-CN" w:bidi="ar"/>
        </w:rPr>
        <w:t>博尚镇碗窑村、蚂蚁堆乡蚂蚁堆村入围省第二批省级森林乡村。</w:t>
      </w:r>
      <w:r>
        <w:rPr>
          <w:rFonts w:hint="eastAsia" w:ascii="仿宋_GB2312" w:hAnsi="仿宋_GB2312" w:eastAsia="仿宋_GB2312" w:cs="仿宋_GB2312"/>
          <w:b/>
          <w:bCs/>
          <w:color w:val="auto"/>
          <w:sz w:val="32"/>
          <w:szCs w:val="32"/>
          <w:highlight w:val="none"/>
          <w:shd w:val="clear"/>
          <w:lang w:val="en-US" w:eastAsia="zh-CN"/>
        </w:rPr>
        <w:t>四是环境安全有效保障。</w:t>
      </w:r>
      <w:r>
        <w:rPr>
          <w:rFonts w:hint="eastAsia" w:ascii="仿宋_GB2312" w:hAnsi="仿宋_GB2312" w:eastAsia="仿宋_GB2312" w:cs="仿宋_GB2312"/>
          <w:b w:val="0"/>
          <w:bCs w:val="0"/>
          <w:color w:val="auto"/>
          <w:sz w:val="32"/>
          <w:szCs w:val="32"/>
          <w:highlight w:val="none"/>
          <w:shd w:val="clear"/>
          <w:lang w:val="en-US" w:eastAsia="zh-CN"/>
        </w:rPr>
        <w:t>持续落实河长、湖长、山长机制，对标环保督察问题清单，逐一整改销号。全年</w:t>
      </w:r>
      <w:r>
        <w:rPr>
          <w:rFonts w:hint="eastAsia" w:ascii="仿宋_GB2312" w:hAnsi="仿宋_GB2312" w:eastAsia="仿宋_GB2312" w:cs="仿宋_GB2312"/>
          <w:color w:val="auto"/>
          <w:sz w:val="32"/>
          <w:szCs w:val="32"/>
          <w:highlight w:val="none"/>
          <w:shd w:val="clear"/>
          <w:lang w:val="en-US" w:eastAsia="zh-CN"/>
        </w:rPr>
        <w:t>立案查处涉嫌生态环境违法行为36件，拆除违章建筑352栋；扎实开展</w:t>
      </w:r>
      <w:r>
        <w:rPr>
          <w:rFonts w:hint="eastAsia" w:ascii="仿宋_GB2312" w:hAnsi="仿宋_GB2312" w:eastAsia="仿宋_GB2312" w:cs="仿宋_GB2312"/>
          <w:color w:val="auto"/>
          <w:sz w:val="32"/>
          <w:szCs w:val="32"/>
        </w:rPr>
        <w:t>非法侵占林地种茶毁林等破坏森林资源违法违规问题专项整治工作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highlight w:val="none"/>
          <w:shd w:val="clear"/>
        </w:rPr>
        <w:t>依法收回林地175.2亩，恢复植被370.4亩</w:t>
      </w:r>
      <w:r>
        <w:rPr>
          <w:rFonts w:hint="eastAsia" w:ascii="仿宋_GB2312" w:hAnsi="仿宋_GB2312" w:eastAsia="仿宋_GB2312" w:cs="仿宋_GB2312"/>
          <w:color w:val="auto"/>
          <w:sz w:val="32"/>
          <w:szCs w:val="32"/>
          <w:shd w:val="clear"/>
          <w:lang w:val="en-US" w:eastAsia="zh-CN"/>
        </w:rPr>
        <w:t>。</w:t>
      </w:r>
      <w:r>
        <w:rPr>
          <w:rFonts w:hint="eastAsia" w:ascii="仿宋_GB2312" w:hAnsi="仿宋_GB2312" w:eastAsia="仿宋_GB2312" w:cs="仿宋_GB2312"/>
          <w:color w:val="auto"/>
          <w:kern w:val="2"/>
          <w:sz w:val="32"/>
          <w:szCs w:val="32"/>
          <w:lang w:eastAsia="zh-CN"/>
        </w:rPr>
        <w:t>全年环境空气质量优良率达</w:t>
      </w:r>
      <w:r>
        <w:rPr>
          <w:rFonts w:hint="eastAsia" w:ascii="仿宋_GB2312" w:hAnsi="仿宋_GB2312" w:eastAsia="仿宋_GB2312" w:cs="仿宋_GB2312"/>
          <w:color w:val="auto"/>
          <w:kern w:val="2"/>
          <w:sz w:val="32"/>
          <w:szCs w:val="32"/>
          <w:lang w:val="en-US" w:eastAsia="zh-CN"/>
        </w:rPr>
        <w:t>98.08</w:t>
      </w:r>
      <w:r>
        <w:rPr>
          <w:rFonts w:hint="eastAsia" w:ascii="仿宋_GB2312" w:hAnsi="仿宋_GB2312" w:eastAsia="仿宋_GB2312" w:cs="仿宋_GB2312"/>
          <w:color w:val="auto"/>
          <w:kern w:val="2"/>
          <w:sz w:val="32"/>
          <w:szCs w:val="32"/>
        </w:rPr>
        <w:t>%</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lang w:val="en-US" w:eastAsia="zh-CN"/>
        </w:rPr>
        <w:t>森林覆盖率达76.29%。</w:t>
      </w:r>
    </w:p>
    <w:p>
      <w:pPr>
        <w:keepNext w:val="0"/>
        <w:keepLines w:val="0"/>
        <w:pageBreakBefore w:val="0"/>
        <w:widowControl w:val="0"/>
        <w:pBdr>
          <w:bottom w:val="single" w:color="FFFFFF" w:sz="4" w:space="28"/>
        </w:pBdr>
        <w:kinsoku/>
        <w:wordWrap/>
        <w:overflowPunct/>
        <w:topLinePunct w:val="0"/>
        <w:autoSpaceDN/>
        <w:bidi w:val="0"/>
        <w:spacing w:line="560" w:lineRule="exact"/>
        <w:ind w:firstLine="643" w:firstLineChars="200"/>
        <w:textAlignment w:val="baseline"/>
        <w:rPr>
          <w:rFonts w:hint="eastAsia" w:ascii="仿宋_GB2312" w:hAnsi="仿宋_GB2312" w:eastAsia="仿宋_GB2312" w:cs="仿宋_GB2312"/>
          <w:color w:val="auto"/>
          <w:lang w:eastAsia="zh-CN"/>
        </w:rPr>
      </w:pPr>
      <w:r>
        <w:rPr>
          <w:rFonts w:hint="eastAsia" w:ascii="楷体_GB2312" w:hAnsi="楷体_GB2312" w:eastAsia="楷体_GB2312" w:cs="楷体_GB2312"/>
          <w:b/>
          <w:bCs/>
          <w:color w:val="auto"/>
          <w:kern w:val="0"/>
          <w:sz w:val="32"/>
          <w:szCs w:val="32"/>
          <w:highlight w:val="none"/>
          <w:shd w:val="clear"/>
          <w:lang w:eastAsia="zh-CN" w:bidi="ar"/>
        </w:rPr>
        <w:t>（</w:t>
      </w:r>
      <w:r>
        <w:rPr>
          <w:rFonts w:hint="eastAsia" w:ascii="楷体_GB2312" w:hAnsi="楷体_GB2312" w:eastAsia="楷体_GB2312" w:cs="楷体_GB2312"/>
          <w:b/>
          <w:bCs/>
          <w:color w:val="auto"/>
          <w:kern w:val="0"/>
          <w:sz w:val="32"/>
          <w:szCs w:val="32"/>
          <w:highlight w:val="none"/>
          <w:shd w:val="clear"/>
          <w:lang w:val="en-US" w:eastAsia="zh-CN" w:bidi="ar"/>
        </w:rPr>
        <w:t>八</w:t>
      </w:r>
      <w:r>
        <w:rPr>
          <w:rFonts w:hint="eastAsia" w:ascii="楷体_GB2312" w:hAnsi="楷体_GB2312" w:eastAsia="楷体_GB2312" w:cs="楷体_GB2312"/>
          <w:b/>
          <w:bCs/>
          <w:color w:val="auto"/>
          <w:kern w:val="0"/>
          <w:sz w:val="32"/>
          <w:szCs w:val="32"/>
          <w:highlight w:val="none"/>
          <w:shd w:val="clear"/>
          <w:lang w:eastAsia="zh-CN" w:bidi="ar"/>
        </w:rPr>
        <w:t>）</w:t>
      </w:r>
      <w:r>
        <w:rPr>
          <w:rFonts w:hint="eastAsia" w:ascii="楷体_GB2312" w:hAnsi="楷体_GB2312" w:eastAsia="楷体_GB2312" w:cs="楷体_GB2312"/>
          <w:b/>
          <w:bCs/>
          <w:color w:val="auto"/>
          <w:kern w:val="0"/>
          <w:sz w:val="32"/>
          <w:szCs w:val="32"/>
          <w:highlight w:val="none"/>
          <w:shd w:val="clear"/>
          <w:lang w:val="en-US" w:eastAsia="zh-CN" w:bidi="ar"/>
        </w:rPr>
        <w:t>创新驱动能力不断增强。</w:t>
      </w:r>
      <w:r>
        <w:rPr>
          <w:rFonts w:hint="eastAsia" w:ascii="仿宋_GB2312" w:hAnsi="仿宋_GB2312" w:eastAsia="仿宋_GB2312" w:cs="仿宋_GB2312"/>
          <w:b/>
          <w:bCs/>
          <w:color w:val="auto"/>
          <w:sz w:val="32"/>
          <w:szCs w:val="32"/>
          <w:highlight w:val="none"/>
          <w:shd w:val="clear"/>
          <w:lang w:val="en-US" w:eastAsia="zh-CN"/>
        </w:rPr>
        <w:t>一是</w:t>
      </w:r>
      <w:r>
        <w:rPr>
          <w:rFonts w:hint="eastAsia" w:ascii="仿宋_GB2312" w:hAnsi="仿宋_GB2312" w:eastAsia="仿宋_GB2312" w:cs="仿宋_GB2312"/>
          <w:bCs/>
          <w:color w:val="auto"/>
          <w:sz w:val="32"/>
          <w:szCs w:val="32"/>
          <w:highlight w:val="none"/>
          <w:shd w:val="clear"/>
          <w:lang w:val="en-US" w:eastAsia="zh-CN"/>
        </w:rPr>
        <w:t>抓好示范区建设工作，落实省委、省政府临</w:t>
      </w:r>
      <w:r>
        <w:rPr>
          <w:rFonts w:hint="eastAsia" w:ascii="仿宋_GB2312" w:hAnsi="仿宋_GB2312" w:eastAsia="仿宋_GB2312" w:cs="仿宋_GB2312"/>
          <w:b w:val="0"/>
          <w:bCs w:val="0"/>
          <w:color w:val="auto"/>
          <w:sz w:val="32"/>
          <w:szCs w:val="32"/>
          <w:highlight w:val="none"/>
          <w:shd w:val="clear"/>
          <w:lang w:val="en-US" w:eastAsia="zh-CN"/>
        </w:rPr>
        <w:t>沧现场办公会议精神，</w:t>
      </w:r>
      <w:r>
        <w:rPr>
          <w:rFonts w:hint="eastAsia" w:ascii="仿宋_GB2312" w:hAnsi="仿宋_GB2312" w:eastAsia="仿宋_GB2312" w:cs="仿宋_GB2312"/>
          <w:color w:val="auto"/>
          <w:sz w:val="32"/>
          <w:szCs w:val="32"/>
          <w:highlight w:val="none"/>
          <w:shd w:val="clear"/>
        </w:rPr>
        <w:t>明确工作专班，细化</w:t>
      </w:r>
      <w:r>
        <w:rPr>
          <w:rFonts w:hint="eastAsia" w:ascii="仿宋_GB2312" w:hAnsi="仿宋_GB2312" w:eastAsia="仿宋_GB2312" w:cs="仿宋_GB2312"/>
          <w:color w:val="auto"/>
          <w:sz w:val="32"/>
          <w:szCs w:val="32"/>
          <w:highlight w:val="none"/>
          <w:shd w:val="clear"/>
          <w:lang w:eastAsia="zh-CN"/>
        </w:rPr>
        <w:t>可持续发展示范区涉及的</w:t>
      </w:r>
      <w:r>
        <w:rPr>
          <w:rFonts w:hint="eastAsia" w:ascii="仿宋_GB2312" w:hAnsi="仿宋_GB2312" w:eastAsia="仿宋_GB2312" w:cs="仿宋_GB2312"/>
          <w:color w:val="auto"/>
          <w:sz w:val="32"/>
          <w:szCs w:val="32"/>
          <w:highlight w:val="none"/>
          <w:shd w:val="clear"/>
          <w:lang w:val="en-US" w:eastAsia="zh-CN"/>
        </w:rPr>
        <w:t>22</w:t>
      </w:r>
      <w:r>
        <w:rPr>
          <w:rFonts w:hint="eastAsia" w:ascii="仿宋_GB2312" w:hAnsi="仿宋_GB2312" w:eastAsia="仿宋_GB2312" w:cs="仿宋_GB2312"/>
          <w:color w:val="auto"/>
          <w:sz w:val="32"/>
          <w:szCs w:val="32"/>
          <w:highlight w:val="none"/>
          <w:shd w:val="clear"/>
        </w:rPr>
        <w:t>个重大任务清单和</w:t>
      </w:r>
      <w:r>
        <w:rPr>
          <w:rFonts w:hint="eastAsia" w:ascii="仿宋_GB2312" w:hAnsi="仿宋_GB2312" w:eastAsia="仿宋_GB2312" w:cs="仿宋_GB2312"/>
          <w:color w:val="auto"/>
          <w:sz w:val="32"/>
          <w:szCs w:val="32"/>
          <w:highlight w:val="none"/>
          <w:shd w:val="clear"/>
          <w:lang w:val="en-US" w:eastAsia="zh-CN"/>
        </w:rPr>
        <w:t>66</w:t>
      </w:r>
      <w:r>
        <w:rPr>
          <w:rFonts w:hint="eastAsia" w:ascii="仿宋_GB2312" w:hAnsi="仿宋_GB2312" w:eastAsia="仿宋_GB2312" w:cs="仿宋_GB2312"/>
          <w:color w:val="auto"/>
          <w:sz w:val="32"/>
          <w:szCs w:val="32"/>
          <w:highlight w:val="none"/>
          <w:shd w:val="clear"/>
        </w:rPr>
        <w:t>个重点项目目标，对标对表抓落实。</w:t>
      </w:r>
      <w:r>
        <w:rPr>
          <w:rFonts w:hint="eastAsia" w:ascii="仿宋_GB2312" w:hAnsi="仿宋_GB2312" w:eastAsia="仿宋_GB2312" w:cs="仿宋_GB2312"/>
          <w:color w:val="auto"/>
          <w:sz w:val="32"/>
          <w:szCs w:val="32"/>
          <w:highlight w:val="none"/>
          <w:shd w:val="clear"/>
          <w:lang w:val="en-US" w:eastAsia="zh-CN"/>
        </w:rPr>
        <w:t>二</w:t>
      </w:r>
      <w:r>
        <w:rPr>
          <w:rFonts w:hint="eastAsia" w:ascii="仿宋_GB2312" w:hAnsi="仿宋_GB2312" w:eastAsia="仿宋_GB2312" w:cs="仿宋_GB2312"/>
          <w:b/>
          <w:bCs w:val="0"/>
          <w:color w:val="auto"/>
          <w:sz w:val="32"/>
          <w:szCs w:val="32"/>
          <w:highlight w:val="none"/>
          <w:shd w:val="clear"/>
        </w:rPr>
        <w:t>是</w:t>
      </w:r>
      <w:r>
        <w:rPr>
          <w:rFonts w:hint="eastAsia" w:ascii="仿宋_GB2312" w:hAnsi="仿宋_GB2312" w:eastAsia="仿宋_GB2312" w:cs="仿宋_GB2312"/>
          <w:color w:val="auto"/>
          <w:sz w:val="32"/>
          <w:szCs w:val="32"/>
          <w:highlight w:val="none"/>
          <w:shd w:val="clear"/>
          <w:lang w:val="en-US" w:eastAsia="zh-CN"/>
        </w:rPr>
        <w:t>积极加强与省内外高校和科研院所的合作，与华中科技大学联合创建的华翔创新研究院投入使用，正在开展普洱茶相关研发工作。</w:t>
      </w:r>
      <w:r>
        <w:rPr>
          <w:rFonts w:hint="eastAsia" w:ascii="仿宋_GB2312" w:hAnsi="仿宋_GB2312" w:eastAsia="仿宋_GB2312" w:cs="仿宋_GB2312"/>
          <w:bCs/>
          <w:color w:val="auto"/>
          <w:sz w:val="32"/>
          <w:szCs w:val="32"/>
          <w:highlight w:val="none"/>
          <w:shd w:val="clear"/>
          <w:lang w:val="en-US" w:eastAsia="zh-CN"/>
        </w:rPr>
        <w:t>三</w:t>
      </w:r>
      <w:r>
        <w:rPr>
          <w:rFonts w:hint="eastAsia" w:ascii="仿宋_GB2312" w:hAnsi="仿宋_GB2312" w:eastAsia="仿宋_GB2312" w:cs="仿宋_GB2312"/>
          <w:b/>
          <w:bCs/>
          <w:color w:val="auto"/>
          <w:sz w:val="32"/>
          <w:szCs w:val="32"/>
          <w:highlight w:val="none"/>
          <w:shd w:val="clear"/>
        </w:rPr>
        <w:t>是</w:t>
      </w:r>
      <w:r>
        <w:rPr>
          <w:rFonts w:hint="eastAsia" w:ascii="仿宋_GB2312" w:hAnsi="仿宋_GB2312" w:eastAsia="仿宋_GB2312" w:cs="仿宋_GB2312"/>
          <w:color w:val="auto"/>
          <w:sz w:val="32"/>
          <w:szCs w:val="32"/>
          <w:highlight w:val="none"/>
          <w:shd w:val="clear"/>
          <w:lang w:val="en-US" w:eastAsia="zh-CN"/>
        </w:rPr>
        <w:t>强化科研成果转化利用，组织申报市级专项项目4个，</w:t>
      </w:r>
      <w:r>
        <w:rPr>
          <w:rFonts w:hint="eastAsia" w:ascii="仿宋_GB2312" w:hAnsi="仿宋_GB2312" w:eastAsia="仿宋_GB2312" w:cs="仿宋_GB2312"/>
          <w:b w:val="0"/>
          <w:bCs w:val="0"/>
          <w:color w:val="auto"/>
          <w:sz w:val="32"/>
          <w:szCs w:val="32"/>
          <w:highlight w:val="none"/>
          <w:shd w:val="clear"/>
          <w:lang w:eastAsia="zh-CN"/>
        </w:rPr>
        <w:t>推荐申报</w:t>
      </w:r>
      <w:r>
        <w:rPr>
          <w:rFonts w:hint="eastAsia" w:ascii="仿宋_GB2312" w:hAnsi="仿宋_GB2312" w:eastAsia="仿宋_GB2312" w:cs="仿宋_GB2312"/>
          <w:color w:val="auto"/>
          <w:sz w:val="32"/>
          <w:szCs w:val="32"/>
          <w:highlight w:val="none"/>
          <w:shd w:val="clear"/>
          <w:lang w:val="en-US" w:eastAsia="zh-CN"/>
        </w:rPr>
        <w:t>专家工作站1个，</w:t>
      </w:r>
      <w:r>
        <w:rPr>
          <w:rFonts w:hint="eastAsia" w:ascii="仿宋_GB2312" w:hAnsi="仿宋_GB2312" w:eastAsia="仿宋_GB2312" w:cs="仿宋_GB2312"/>
          <w:bCs/>
          <w:color w:val="auto"/>
          <w:sz w:val="32"/>
          <w:szCs w:val="32"/>
          <w:highlight w:val="none"/>
          <w:shd w:val="clear"/>
        </w:rPr>
        <w:t>俸如华、</w:t>
      </w:r>
      <w:r>
        <w:rPr>
          <w:rFonts w:hint="eastAsia" w:ascii="仿宋_GB2312" w:hAnsi="仿宋_GB2312" w:eastAsia="仿宋_GB2312" w:cs="仿宋_GB2312"/>
          <w:bCs/>
          <w:color w:val="auto"/>
          <w:sz w:val="32"/>
          <w:szCs w:val="32"/>
          <w:highlight w:val="none"/>
          <w:shd w:val="clear"/>
          <w:lang w:val="en-US" w:eastAsia="zh-CN"/>
        </w:rPr>
        <w:t>杨克华、</w:t>
      </w:r>
      <w:r>
        <w:rPr>
          <w:rFonts w:hint="eastAsia" w:ascii="仿宋_GB2312" w:hAnsi="仿宋_GB2312" w:eastAsia="仿宋_GB2312" w:cs="仿宋_GB2312"/>
          <w:bCs/>
          <w:color w:val="auto"/>
          <w:sz w:val="32"/>
          <w:szCs w:val="32"/>
          <w:highlight w:val="none"/>
          <w:shd w:val="clear"/>
        </w:rPr>
        <w:t>杨丕追</w:t>
      </w:r>
      <w:r>
        <w:rPr>
          <w:rFonts w:hint="eastAsia" w:ascii="仿宋_GB2312" w:hAnsi="仿宋_GB2312" w:eastAsia="仿宋_GB2312" w:cs="仿宋_GB2312"/>
          <w:bCs/>
          <w:color w:val="auto"/>
          <w:sz w:val="32"/>
          <w:szCs w:val="32"/>
          <w:highlight w:val="none"/>
          <w:shd w:val="clear"/>
          <w:lang w:val="en-US" w:eastAsia="zh-CN"/>
        </w:rPr>
        <w:t>等</w:t>
      </w:r>
      <w:r>
        <w:rPr>
          <w:rFonts w:hint="eastAsia" w:ascii="仿宋_GB2312" w:hAnsi="仿宋_GB2312" w:eastAsia="仿宋_GB2312" w:cs="仿宋_GB2312"/>
          <w:bCs/>
          <w:color w:val="auto"/>
          <w:sz w:val="32"/>
          <w:szCs w:val="32"/>
          <w:highlight w:val="none"/>
          <w:shd w:val="clear"/>
        </w:rPr>
        <w:t>24名获评临沧市首届乡土人才创新创业“百名大师”</w:t>
      </w:r>
      <w:r>
        <w:rPr>
          <w:rFonts w:hint="eastAsia" w:ascii="仿宋_GB2312" w:hAnsi="仿宋_GB2312" w:eastAsia="仿宋_GB2312" w:cs="仿宋_GB2312"/>
          <w:bCs/>
          <w:color w:val="auto"/>
          <w:sz w:val="32"/>
          <w:szCs w:val="32"/>
          <w:highlight w:val="none"/>
          <w:shd w:val="clear"/>
          <w:lang w:eastAsia="zh-CN"/>
        </w:rPr>
        <w:t>。</w:t>
      </w:r>
      <w:r>
        <w:rPr>
          <w:rFonts w:hint="eastAsia" w:ascii="仿宋_GB2312" w:hAnsi="仿宋_GB2312" w:eastAsia="仿宋_GB2312" w:cs="仿宋_GB2312"/>
          <w:bCs/>
          <w:color w:val="auto"/>
          <w:sz w:val="32"/>
          <w:szCs w:val="32"/>
          <w:highlight w:val="none"/>
          <w:shd w:val="clear"/>
        </w:rPr>
        <w:t>累计认定国家高新技术企业</w:t>
      </w:r>
      <w:r>
        <w:rPr>
          <w:rFonts w:hint="eastAsia" w:ascii="仿宋_GB2312" w:hAnsi="仿宋_GB2312" w:eastAsia="仿宋_GB2312" w:cs="仿宋_GB2312"/>
          <w:bCs/>
          <w:color w:val="auto"/>
          <w:sz w:val="32"/>
          <w:szCs w:val="32"/>
          <w:highlight w:val="none"/>
          <w:shd w:val="clear"/>
          <w:lang w:val="en-US" w:eastAsia="zh-CN"/>
        </w:rPr>
        <w:t>16</w:t>
      </w:r>
      <w:r>
        <w:rPr>
          <w:rFonts w:hint="eastAsia" w:ascii="仿宋_GB2312" w:hAnsi="仿宋_GB2312" w:eastAsia="仿宋_GB2312" w:cs="仿宋_GB2312"/>
          <w:bCs/>
          <w:color w:val="auto"/>
          <w:sz w:val="32"/>
          <w:szCs w:val="32"/>
          <w:highlight w:val="none"/>
          <w:shd w:val="clear"/>
        </w:rPr>
        <w:t>户、</w:t>
      </w:r>
      <w:r>
        <w:rPr>
          <w:rFonts w:hint="eastAsia" w:ascii="仿宋_GB2312" w:hAnsi="仿宋_GB2312" w:eastAsia="仿宋_GB2312" w:cs="仿宋_GB2312"/>
          <w:bCs/>
          <w:color w:val="auto"/>
          <w:sz w:val="32"/>
          <w:szCs w:val="32"/>
          <w:highlight w:val="none"/>
          <w:shd w:val="clear"/>
          <w:lang w:eastAsia="zh-CN"/>
        </w:rPr>
        <w:t>云南省</w:t>
      </w:r>
      <w:r>
        <w:rPr>
          <w:rFonts w:hint="eastAsia" w:ascii="仿宋_GB2312" w:hAnsi="仿宋_GB2312" w:eastAsia="仿宋_GB2312" w:cs="仿宋_GB2312"/>
          <w:bCs/>
          <w:color w:val="auto"/>
          <w:sz w:val="32"/>
          <w:szCs w:val="32"/>
          <w:highlight w:val="none"/>
          <w:shd w:val="clear"/>
        </w:rPr>
        <w:t>科技型中小企业</w:t>
      </w:r>
      <w:r>
        <w:rPr>
          <w:rFonts w:hint="eastAsia" w:ascii="仿宋_GB2312" w:hAnsi="仿宋_GB2312" w:eastAsia="仿宋_GB2312" w:cs="仿宋_GB2312"/>
          <w:bCs/>
          <w:color w:val="auto"/>
          <w:sz w:val="32"/>
          <w:szCs w:val="32"/>
          <w:highlight w:val="none"/>
          <w:shd w:val="clear"/>
          <w:lang w:val="en-US" w:eastAsia="zh-CN"/>
        </w:rPr>
        <w:t>70</w:t>
      </w:r>
      <w:r>
        <w:rPr>
          <w:rFonts w:hint="eastAsia" w:ascii="仿宋_GB2312" w:hAnsi="仿宋_GB2312" w:eastAsia="仿宋_GB2312" w:cs="仿宋_GB2312"/>
          <w:bCs/>
          <w:color w:val="auto"/>
          <w:sz w:val="32"/>
          <w:szCs w:val="32"/>
          <w:highlight w:val="none"/>
          <w:shd w:val="clear"/>
        </w:rPr>
        <w:t>户</w:t>
      </w:r>
      <w:r>
        <w:rPr>
          <w:rFonts w:hint="eastAsia" w:ascii="仿宋_GB2312" w:hAnsi="仿宋_GB2312" w:eastAsia="仿宋_GB2312" w:cs="仿宋_GB2312"/>
          <w:bCs/>
          <w:color w:val="auto"/>
          <w:sz w:val="32"/>
          <w:szCs w:val="32"/>
          <w:highlight w:val="none"/>
          <w:shd w:val="clear"/>
          <w:lang w:eastAsia="zh-CN"/>
        </w:rPr>
        <w:t>；</w:t>
      </w:r>
      <w:r>
        <w:rPr>
          <w:rFonts w:hint="eastAsia" w:ascii="仿宋_GB2312" w:hAnsi="仿宋_GB2312" w:eastAsia="仿宋_GB2312" w:cs="仿宋_GB2312"/>
          <w:bCs/>
          <w:color w:val="auto"/>
          <w:sz w:val="32"/>
          <w:szCs w:val="32"/>
          <w:highlight w:val="none"/>
          <w:shd w:val="clear"/>
          <w:lang w:val="en-US" w:eastAsia="zh-CN"/>
        </w:rPr>
        <w:t>获</w:t>
      </w:r>
      <w:r>
        <w:rPr>
          <w:rFonts w:hint="eastAsia" w:ascii="仿宋_GB2312" w:hAnsi="仿宋_GB2312" w:eastAsia="仿宋_GB2312" w:cs="仿宋_GB2312"/>
          <w:bCs/>
          <w:color w:val="auto"/>
          <w:sz w:val="32"/>
          <w:szCs w:val="32"/>
          <w:highlight w:val="none"/>
          <w:shd w:val="clear"/>
        </w:rPr>
        <w:t>得</w:t>
      </w:r>
      <w:r>
        <w:rPr>
          <w:rFonts w:hint="eastAsia" w:ascii="仿宋_GB2312" w:hAnsi="仿宋_GB2312" w:eastAsia="仿宋_GB2312" w:cs="仿宋_GB2312"/>
          <w:bCs/>
          <w:color w:val="auto"/>
          <w:sz w:val="32"/>
          <w:szCs w:val="32"/>
          <w:highlight w:val="none"/>
          <w:shd w:val="clear"/>
          <w:lang w:eastAsia="zh-CN"/>
        </w:rPr>
        <w:t>省级</w:t>
      </w:r>
      <w:r>
        <w:rPr>
          <w:rFonts w:hint="eastAsia" w:ascii="仿宋_GB2312" w:hAnsi="仿宋_GB2312" w:eastAsia="仿宋_GB2312" w:cs="仿宋_GB2312"/>
          <w:bCs/>
          <w:color w:val="auto"/>
          <w:sz w:val="32"/>
          <w:szCs w:val="32"/>
          <w:highlight w:val="none"/>
          <w:shd w:val="clear"/>
        </w:rPr>
        <w:t>科技成果奖</w:t>
      </w:r>
      <w:r>
        <w:rPr>
          <w:rFonts w:hint="eastAsia" w:ascii="仿宋_GB2312" w:hAnsi="仿宋_GB2312" w:eastAsia="仿宋_GB2312" w:cs="仿宋_GB2312"/>
          <w:bCs/>
          <w:color w:val="auto"/>
          <w:sz w:val="32"/>
          <w:szCs w:val="32"/>
          <w:highlight w:val="none"/>
          <w:shd w:val="clear"/>
          <w:lang w:val="en-US" w:eastAsia="zh-CN"/>
        </w:rPr>
        <w:t>1</w:t>
      </w:r>
      <w:r>
        <w:rPr>
          <w:rFonts w:hint="eastAsia" w:ascii="仿宋_GB2312" w:hAnsi="仿宋_GB2312" w:eastAsia="仿宋_GB2312" w:cs="仿宋_GB2312"/>
          <w:bCs/>
          <w:color w:val="auto"/>
          <w:sz w:val="32"/>
          <w:szCs w:val="32"/>
          <w:highlight w:val="none"/>
          <w:shd w:val="clear"/>
        </w:rPr>
        <w:t>项</w:t>
      </w:r>
      <w:r>
        <w:rPr>
          <w:rFonts w:hint="eastAsia" w:ascii="仿宋_GB2312" w:hAnsi="仿宋_GB2312" w:eastAsia="仿宋_GB2312" w:cs="仿宋_GB2312"/>
          <w:color w:val="auto"/>
          <w:sz w:val="32"/>
          <w:szCs w:val="32"/>
          <w:highlight w:val="none"/>
          <w:shd w:val="clear"/>
          <w:lang w:val="en-US" w:eastAsia="zh-CN"/>
        </w:rPr>
        <w:t>。</w:t>
      </w:r>
    </w:p>
    <w:p>
      <w:pPr>
        <w:keepNext w:val="0"/>
        <w:keepLines w:val="0"/>
        <w:pageBreakBefore w:val="0"/>
        <w:widowControl w:val="0"/>
        <w:pBdr>
          <w:bottom w:val="single" w:color="FFFFFF" w:sz="4" w:space="28"/>
        </w:pBdr>
        <w:kinsoku/>
        <w:wordWrap/>
        <w:overflowPunct/>
        <w:topLinePunct w:val="0"/>
        <w:autoSpaceDN/>
        <w:bidi w:val="0"/>
        <w:snapToGrid/>
        <w:spacing w:line="560" w:lineRule="exact"/>
        <w:ind w:firstLine="643" w:firstLineChars="200"/>
        <w:textAlignment w:val="baseline"/>
        <w:rPr>
          <w:rFonts w:hint="eastAsia" w:ascii="仿宋_GB2312" w:hAnsi="仿宋_GB2312" w:eastAsia="仿宋_GB2312" w:cs="仿宋_GB2312"/>
          <w:bCs/>
          <w:color w:val="auto"/>
          <w:sz w:val="32"/>
          <w:szCs w:val="32"/>
          <w:highlight w:val="none"/>
          <w:shd w:val="clear"/>
          <w:lang w:val="en-US" w:eastAsia="zh-CN"/>
        </w:rPr>
      </w:pPr>
      <w:r>
        <w:rPr>
          <w:rFonts w:hint="eastAsia" w:ascii="楷体_GB2312" w:hAnsi="楷体_GB2312" w:eastAsia="楷体_GB2312" w:cs="楷体_GB2312"/>
          <w:b/>
          <w:bCs/>
          <w:color w:val="auto"/>
          <w:kern w:val="0"/>
          <w:sz w:val="32"/>
          <w:szCs w:val="32"/>
          <w:highlight w:val="none"/>
          <w:shd w:val="clear"/>
          <w:lang w:val="en-US" w:eastAsia="zh-CN" w:bidi="ar"/>
        </w:rPr>
        <w:t>（九）对外开放取得新成效。</w:t>
      </w:r>
      <w:r>
        <w:rPr>
          <w:rFonts w:hint="eastAsia" w:ascii="仿宋_GB2312" w:hAnsi="仿宋_GB2312" w:eastAsia="仿宋_GB2312" w:cs="仿宋_GB2312"/>
          <w:b/>
          <w:bCs w:val="0"/>
          <w:color w:val="auto"/>
          <w:kern w:val="2"/>
          <w:sz w:val="32"/>
          <w:szCs w:val="32"/>
          <w:highlight w:val="none"/>
          <w:shd w:val="clear"/>
          <w:lang w:val="en-US" w:eastAsia="zh-CN" w:bidi="ar-SA"/>
        </w:rPr>
        <w:t>一是</w:t>
      </w:r>
      <w:r>
        <w:rPr>
          <w:rFonts w:hint="eastAsia" w:ascii="仿宋_GB2312" w:hAnsi="仿宋_GB2312" w:eastAsia="仿宋_GB2312" w:cs="仿宋_GB2312"/>
          <w:b w:val="0"/>
          <w:bCs/>
          <w:color w:val="auto"/>
          <w:kern w:val="2"/>
          <w:sz w:val="32"/>
          <w:szCs w:val="32"/>
          <w:highlight w:val="none"/>
          <w:shd w:val="clear"/>
          <w:lang w:val="en-US" w:eastAsia="zh-CN" w:bidi="ar-SA"/>
        </w:rPr>
        <w:t>制定《临翔区兴边富民示范区实施方案》，</w:t>
      </w:r>
      <w:r>
        <w:rPr>
          <w:rFonts w:hint="eastAsia" w:ascii="仿宋_GB2312" w:hAnsi="仿宋_GB2312" w:eastAsia="仿宋_GB2312" w:cs="仿宋_GB2312"/>
          <w:bCs/>
          <w:color w:val="auto"/>
          <w:sz w:val="32"/>
          <w:szCs w:val="32"/>
          <w:highlight w:val="none"/>
        </w:rPr>
        <w:t>主动服务和融入国家重大发展战略</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临清、云临、临双三条高速公路进入扫尾阶段；实施农村公路建设167.7公里，其中：农村三级公路27.5公里；建成</w:t>
      </w:r>
      <w:r>
        <w:rPr>
          <w:rFonts w:hint="eastAsia" w:ascii="仿宋_GB2312" w:hAnsi="仿宋_GB2312" w:eastAsia="仿宋_GB2312" w:cs="仿宋_GB2312"/>
          <w:b w:val="0"/>
          <w:bCs w:val="0"/>
          <w:color w:val="auto"/>
          <w:sz w:val="32"/>
          <w:szCs w:val="32"/>
          <w:lang w:val="en-US" w:eastAsia="zh-CN"/>
        </w:rPr>
        <w:t>“美丽公路”18条（段）共204.78公里。</w:t>
      </w:r>
      <w:r>
        <w:rPr>
          <w:rFonts w:hint="eastAsia" w:ascii="仿宋_GB2312" w:hAnsi="仿宋_GB2312" w:eastAsia="仿宋_GB2312" w:cs="仿宋_GB2312"/>
          <w:bCs/>
          <w:color w:val="auto"/>
          <w:sz w:val="32"/>
          <w:szCs w:val="32"/>
          <w:highlight w:val="none"/>
        </w:rPr>
        <w:t>促进区、乡、村公路“建、管、养、运”全面协调发展。</w:t>
      </w:r>
      <w:r>
        <w:rPr>
          <w:rFonts w:hint="eastAsia" w:ascii="仿宋_GB2312" w:hAnsi="仿宋_GB2312" w:eastAsia="仿宋_GB2312" w:cs="仿宋_GB2312"/>
          <w:b/>
          <w:bCs w:val="0"/>
          <w:color w:val="auto"/>
          <w:sz w:val="32"/>
          <w:szCs w:val="32"/>
          <w:highlight w:val="none"/>
          <w:lang w:val="en-US" w:eastAsia="zh-CN"/>
        </w:rPr>
        <w:t>二是</w:t>
      </w:r>
      <w:r>
        <w:rPr>
          <w:rFonts w:hint="eastAsia" w:ascii="仿宋_GB2312" w:hAnsi="仿宋_GB2312" w:eastAsia="仿宋_GB2312" w:cs="仿宋_GB2312"/>
          <w:bCs/>
          <w:i w:val="0"/>
          <w:caps w:val="0"/>
          <w:color w:val="auto"/>
          <w:spacing w:val="0"/>
          <w:sz w:val="32"/>
          <w:szCs w:val="32"/>
          <w:highlight w:val="none"/>
          <w:shd w:val="clear" w:fill="auto"/>
        </w:rPr>
        <w:t>实现了中缅新通道（仰光-临沧-成都）海公铁联运的“破冰之旅”</w:t>
      </w:r>
      <w:r>
        <w:rPr>
          <w:rFonts w:hint="eastAsia" w:ascii="仿宋_GB2312" w:hAnsi="仿宋_GB2312" w:eastAsia="仿宋_GB2312" w:cs="仿宋_GB2312"/>
          <w:bCs/>
          <w:i w:val="0"/>
          <w:caps w:val="0"/>
          <w:color w:val="auto"/>
          <w:spacing w:val="0"/>
          <w:sz w:val="32"/>
          <w:szCs w:val="32"/>
          <w:highlight w:val="none"/>
          <w:shd w:val="clear" w:fill="auto"/>
          <w:lang w:eastAsia="zh-CN"/>
        </w:rPr>
        <w:t>，</w:t>
      </w:r>
      <w:r>
        <w:rPr>
          <w:rFonts w:hint="eastAsia" w:ascii="仿宋_GB2312" w:hAnsi="仿宋_GB2312" w:eastAsia="仿宋_GB2312" w:cs="仿宋_GB2312"/>
          <w:bCs/>
          <w:i w:val="0"/>
          <w:caps w:val="0"/>
          <w:color w:val="auto"/>
          <w:spacing w:val="0"/>
          <w:sz w:val="32"/>
          <w:szCs w:val="32"/>
          <w:highlight w:val="none"/>
          <w:shd w:val="clear" w:fill="auto"/>
        </w:rPr>
        <w:t>融入“大循环、双循环”新发展格局，成为中国与环印度洋经济圈的物流大通道和重要枢纽。</w:t>
      </w:r>
      <w:r>
        <w:rPr>
          <w:rStyle w:val="13"/>
          <w:rFonts w:hint="eastAsia" w:ascii="仿宋_GB2312" w:hAnsi="仿宋_GB2312" w:eastAsia="仿宋_GB2312" w:cs="仿宋_GB2312"/>
          <w:bCs/>
          <w:i w:val="0"/>
          <w:caps w:val="0"/>
          <w:color w:val="auto"/>
          <w:spacing w:val="0"/>
          <w:sz w:val="32"/>
          <w:szCs w:val="32"/>
          <w:highlight w:val="none"/>
          <w:shd w:val="clear" w:fill="FFFFFF"/>
        </w:rPr>
        <w:t>临沧火车站</w:t>
      </w:r>
      <w:r>
        <w:rPr>
          <w:rFonts w:hint="eastAsia" w:ascii="仿宋_GB2312" w:hAnsi="仿宋_GB2312" w:eastAsia="仿宋_GB2312" w:cs="仿宋_GB2312"/>
          <w:bCs/>
          <w:i w:val="0"/>
          <w:caps w:val="0"/>
          <w:color w:val="auto"/>
          <w:spacing w:val="0"/>
          <w:sz w:val="32"/>
          <w:szCs w:val="32"/>
          <w:highlight w:val="none"/>
          <w:shd w:val="clear"/>
          <w:lang w:val="en-US" w:eastAsia="zh-CN"/>
        </w:rPr>
        <w:t>全年</w:t>
      </w:r>
      <w:r>
        <w:rPr>
          <w:rStyle w:val="13"/>
          <w:rFonts w:hint="eastAsia" w:ascii="仿宋_GB2312" w:hAnsi="仿宋_GB2312" w:eastAsia="仿宋_GB2312" w:cs="仿宋_GB2312"/>
          <w:bCs/>
          <w:i w:val="0"/>
          <w:caps w:val="0"/>
          <w:color w:val="auto"/>
          <w:spacing w:val="0"/>
          <w:sz w:val="32"/>
          <w:szCs w:val="32"/>
          <w:highlight w:val="none"/>
          <w:shd w:val="clear" w:fill="FFFFFF"/>
        </w:rPr>
        <w:t>货运</w:t>
      </w:r>
      <w:r>
        <w:rPr>
          <w:rStyle w:val="13"/>
          <w:rFonts w:hint="eastAsia" w:ascii="仿宋_GB2312" w:hAnsi="仿宋_GB2312" w:eastAsia="仿宋_GB2312" w:cs="仿宋_GB2312"/>
          <w:bCs/>
          <w:i w:val="0"/>
          <w:caps w:val="0"/>
          <w:color w:val="auto"/>
          <w:spacing w:val="0"/>
          <w:sz w:val="32"/>
          <w:szCs w:val="32"/>
          <w:highlight w:val="none"/>
          <w:shd w:val="clear" w:fill="FFFFFF"/>
          <w:lang w:eastAsia="zh-CN"/>
        </w:rPr>
        <w:t>量</w:t>
      </w:r>
      <w:r>
        <w:rPr>
          <w:rStyle w:val="13"/>
          <w:rFonts w:hint="eastAsia" w:ascii="仿宋_GB2312" w:hAnsi="仿宋_GB2312" w:eastAsia="仿宋_GB2312" w:cs="仿宋_GB2312"/>
          <w:bCs/>
          <w:i w:val="0"/>
          <w:caps w:val="0"/>
          <w:color w:val="auto"/>
          <w:spacing w:val="0"/>
          <w:sz w:val="32"/>
          <w:szCs w:val="32"/>
          <w:highlight w:val="none"/>
          <w:shd w:val="clear" w:fill="FFFFFF"/>
          <w:lang w:val="en-US" w:eastAsia="zh-CN"/>
        </w:rPr>
        <w:t>44.84万吨，</w:t>
      </w:r>
      <w:r>
        <w:rPr>
          <w:rStyle w:val="13"/>
          <w:rFonts w:hint="eastAsia" w:ascii="仿宋_GB2312" w:hAnsi="仿宋_GB2312" w:eastAsia="仿宋_GB2312" w:cs="仿宋_GB2312"/>
          <w:bCs/>
          <w:i w:val="0"/>
          <w:caps w:val="0"/>
          <w:color w:val="auto"/>
          <w:spacing w:val="0"/>
          <w:sz w:val="32"/>
          <w:szCs w:val="32"/>
          <w:highlight w:val="none"/>
          <w:shd w:val="clear" w:fill="FFFFFF"/>
        </w:rPr>
        <w:t>客运</w:t>
      </w:r>
      <w:r>
        <w:rPr>
          <w:rStyle w:val="13"/>
          <w:rFonts w:hint="eastAsia" w:ascii="仿宋_GB2312" w:hAnsi="仿宋_GB2312" w:eastAsia="仿宋_GB2312" w:cs="仿宋_GB2312"/>
          <w:bCs/>
          <w:i w:val="0"/>
          <w:caps w:val="0"/>
          <w:color w:val="auto"/>
          <w:spacing w:val="0"/>
          <w:sz w:val="32"/>
          <w:szCs w:val="32"/>
          <w:highlight w:val="none"/>
          <w:shd w:val="clear" w:fill="FFFFFF"/>
          <w:lang w:eastAsia="zh-CN"/>
        </w:rPr>
        <w:t>量</w:t>
      </w:r>
      <w:r>
        <w:rPr>
          <w:rStyle w:val="13"/>
          <w:rFonts w:hint="eastAsia" w:ascii="仿宋_GB2312" w:hAnsi="仿宋_GB2312" w:eastAsia="仿宋_GB2312" w:cs="仿宋_GB2312"/>
          <w:bCs/>
          <w:i w:val="0"/>
          <w:caps w:val="0"/>
          <w:color w:val="auto"/>
          <w:spacing w:val="0"/>
          <w:sz w:val="32"/>
          <w:szCs w:val="32"/>
          <w:highlight w:val="none"/>
          <w:shd w:val="clear" w:fill="FFFFFF"/>
          <w:lang w:val="en-US" w:eastAsia="zh-CN"/>
        </w:rPr>
        <w:t>181.41万</w:t>
      </w:r>
      <w:r>
        <w:rPr>
          <w:rStyle w:val="13"/>
          <w:rFonts w:hint="eastAsia" w:ascii="仿宋_GB2312" w:hAnsi="仿宋_GB2312" w:eastAsia="仿宋_GB2312" w:cs="仿宋_GB2312"/>
          <w:bCs/>
          <w:i w:val="0"/>
          <w:caps w:val="0"/>
          <w:color w:val="auto"/>
          <w:spacing w:val="0"/>
          <w:sz w:val="32"/>
          <w:szCs w:val="32"/>
          <w:highlight w:val="none"/>
          <w:shd w:val="clear" w:fill="FFFFFF"/>
        </w:rPr>
        <w:t>人</w:t>
      </w:r>
      <w:r>
        <w:rPr>
          <w:rStyle w:val="13"/>
          <w:rFonts w:hint="eastAsia" w:ascii="仿宋_GB2312" w:hAnsi="仿宋_GB2312" w:eastAsia="仿宋_GB2312" w:cs="仿宋_GB2312"/>
          <w:bCs/>
          <w:i w:val="0"/>
          <w:caps w:val="0"/>
          <w:color w:val="auto"/>
          <w:spacing w:val="0"/>
          <w:sz w:val="32"/>
          <w:szCs w:val="32"/>
          <w:highlight w:val="none"/>
          <w:shd w:val="clear" w:fill="FFFFFF"/>
          <w:lang w:val="en-US" w:eastAsia="zh-CN"/>
        </w:rPr>
        <w:t>次</w:t>
      </w:r>
      <w:r>
        <w:rPr>
          <w:rStyle w:val="13"/>
          <w:rFonts w:hint="eastAsia" w:ascii="仿宋_GB2312" w:hAnsi="仿宋_GB2312" w:eastAsia="仿宋_GB2312" w:cs="仿宋_GB2312"/>
          <w:bCs/>
          <w:i w:val="0"/>
          <w:caps w:val="0"/>
          <w:color w:val="auto"/>
          <w:spacing w:val="0"/>
          <w:sz w:val="32"/>
          <w:szCs w:val="32"/>
          <w:highlight w:val="none"/>
          <w:shd w:val="clear" w:fill="FFFFFF"/>
          <w:lang w:eastAsia="zh-CN"/>
        </w:rPr>
        <w:t>；</w:t>
      </w:r>
      <w:r>
        <w:rPr>
          <w:rStyle w:val="13"/>
          <w:rFonts w:hint="eastAsia" w:ascii="仿宋_GB2312" w:hAnsi="仿宋_GB2312" w:eastAsia="仿宋_GB2312" w:cs="仿宋_GB2312"/>
          <w:bCs/>
          <w:color w:val="auto"/>
          <w:sz w:val="32"/>
          <w:szCs w:val="32"/>
          <w:highlight w:val="none"/>
          <w:shd w:val="clear" w:fill="FFFFFF"/>
        </w:rPr>
        <w:t>铁路运输总周转量</w:t>
      </w:r>
      <w:r>
        <w:rPr>
          <w:rStyle w:val="13"/>
          <w:rFonts w:hint="eastAsia" w:ascii="仿宋_GB2312" w:hAnsi="仿宋_GB2312" w:eastAsia="仿宋_GB2312" w:cs="仿宋_GB2312"/>
          <w:bCs/>
          <w:color w:val="auto"/>
          <w:sz w:val="32"/>
          <w:szCs w:val="32"/>
          <w:highlight w:val="none"/>
          <w:shd w:val="clear" w:fill="FFFFFF"/>
          <w:lang w:val="en-US" w:eastAsia="zh-CN"/>
        </w:rPr>
        <w:t>增长6.1%；</w:t>
      </w:r>
      <w:r>
        <w:rPr>
          <w:rStyle w:val="13"/>
          <w:rFonts w:hint="eastAsia" w:ascii="仿宋_GB2312" w:hAnsi="仿宋_GB2312" w:eastAsia="仿宋_GB2312" w:cs="仿宋_GB2312"/>
          <w:bCs/>
          <w:color w:val="auto"/>
          <w:sz w:val="32"/>
          <w:szCs w:val="32"/>
          <w:highlight w:val="none"/>
          <w:shd w:val="clear" w:fill="FFFFFF"/>
        </w:rPr>
        <w:t>公路运输总周转量</w:t>
      </w:r>
      <w:r>
        <w:rPr>
          <w:rStyle w:val="13"/>
          <w:rFonts w:hint="eastAsia" w:ascii="仿宋_GB2312" w:hAnsi="仿宋_GB2312" w:eastAsia="仿宋_GB2312" w:cs="仿宋_GB2312"/>
          <w:bCs/>
          <w:color w:val="auto"/>
          <w:sz w:val="32"/>
          <w:szCs w:val="32"/>
          <w:highlight w:val="none"/>
          <w:shd w:val="clear" w:fill="FFFFFF"/>
          <w:lang w:val="en-US" w:eastAsia="zh-CN"/>
        </w:rPr>
        <w:t>增长33.1%。</w:t>
      </w:r>
      <w:r>
        <w:rPr>
          <w:rStyle w:val="13"/>
          <w:rFonts w:hint="eastAsia" w:ascii="仿宋_GB2312" w:hAnsi="仿宋_GB2312" w:eastAsia="仿宋_GB2312" w:cs="仿宋_GB2312"/>
          <w:bCs/>
          <w:i w:val="0"/>
          <w:caps w:val="0"/>
          <w:color w:val="auto"/>
          <w:spacing w:val="0"/>
          <w:sz w:val="32"/>
          <w:szCs w:val="32"/>
          <w:highlight w:val="none"/>
          <w:shd w:val="clear" w:fill="FFFFFF"/>
          <w:lang w:val="en-US" w:eastAsia="zh-CN"/>
        </w:rPr>
        <w:t>临沧机场货运量1200吨，</w:t>
      </w:r>
      <w:r>
        <w:rPr>
          <w:rStyle w:val="13"/>
          <w:rFonts w:hint="eastAsia" w:ascii="仿宋_GB2312" w:hAnsi="仿宋_GB2312" w:eastAsia="仿宋_GB2312" w:cs="仿宋_GB2312"/>
          <w:bCs/>
          <w:i w:val="0"/>
          <w:caps w:val="0"/>
          <w:color w:val="auto"/>
          <w:spacing w:val="0"/>
          <w:sz w:val="32"/>
          <w:szCs w:val="32"/>
          <w:highlight w:val="none"/>
          <w:shd w:val="clear" w:fill="FFFFFF"/>
        </w:rPr>
        <w:t>客运</w:t>
      </w:r>
      <w:r>
        <w:rPr>
          <w:rStyle w:val="13"/>
          <w:rFonts w:hint="eastAsia" w:ascii="仿宋_GB2312" w:hAnsi="仿宋_GB2312" w:eastAsia="仿宋_GB2312" w:cs="仿宋_GB2312"/>
          <w:bCs/>
          <w:i w:val="0"/>
          <w:caps w:val="0"/>
          <w:color w:val="auto"/>
          <w:spacing w:val="0"/>
          <w:sz w:val="32"/>
          <w:szCs w:val="32"/>
          <w:highlight w:val="none"/>
          <w:shd w:val="clear" w:fill="FFFFFF"/>
          <w:lang w:eastAsia="zh-CN"/>
        </w:rPr>
        <w:t>量</w:t>
      </w:r>
      <w:r>
        <w:rPr>
          <w:rStyle w:val="13"/>
          <w:rFonts w:hint="eastAsia" w:ascii="仿宋_GB2312" w:hAnsi="仿宋_GB2312" w:eastAsia="仿宋_GB2312" w:cs="仿宋_GB2312"/>
          <w:bCs/>
          <w:i w:val="0"/>
          <w:caps w:val="0"/>
          <w:color w:val="auto"/>
          <w:spacing w:val="0"/>
          <w:sz w:val="32"/>
          <w:szCs w:val="32"/>
          <w:highlight w:val="none"/>
          <w:shd w:val="clear" w:fill="FFFFFF"/>
          <w:lang w:val="en-US" w:eastAsia="zh-CN"/>
        </w:rPr>
        <w:t>29.64万</w:t>
      </w:r>
      <w:r>
        <w:rPr>
          <w:rStyle w:val="13"/>
          <w:rFonts w:hint="eastAsia" w:ascii="仿宋_GB2312" w:hAnsi="仿宋_GB2312" w:eastAsia="仿宋_GB2312" w:cs="仿宋_GB2312"/>
          <w:bCs/>
          <w:i w:val="0"/>
          <w:caps w:val="0"/>
          <w:color w:val="auto"/>
          <w:spacing w:val="0"/>
          <w:sz w:val="32"/>
          <w:szCs w:val="32"/>
          <w:highlight w:val="none"/>
          <w:shd w:val="clear" w:fill="FFFFFF"/>
        </w:rPr>
        <w:t>人</w:t>
      </w:r>
      <w:r>
        <w:rPr>
          <w:rStyle w:val="13"/>
          <w:rFonts w:hint="eastAsia" w:ascii="仿宋_GB2312" w:hAnsi="仿宋_GB2312" w:eastAsia="仿宋_GB2312" w:cs="仿宋_GB2312"/>
          <w:bCs/>
          <w:i w:val="0"/>
          <w:caps w:val="0"/>
          <w:color w:val="auto"/>
          <w:spacing w:val="0"/>
          <w:sz w:val="32"/>
          <w:szCs w:val="32"/>
          <w:highlight w:val="none"/>
          <w:shd w:val="clear" w:fill="FFFFFF"/>
          <w:lang w:val="en-US" w:eastAsia="zh-CN"/>
        </w:rPr>
        <w:t>次；</w:t>
      </w:r>
      <w:r>
        <w:rPr>
          <w:rStyle w:val="13"/>
          <w:rFonts w:hint="eastAsia" w:ascii="仿宋_GB2312" w:hAnsi="仿宋_GB2312" w:eastAsia="仿宋_GB2312" w:cs="仿宋_GB2312"/>
          <w:bCs/>
          <w:color w:val="auto"/>
          <w:sz w:val="32"/>
          <w:szCs w:val="32"/>
          <w:highlight w:val="none"/>
          <w:shd w:val="clear" w:fill="FFFFFF"/>
        </w:rPr>
        <w:t>航空旅客和货邮吞吐量</w:t>
      </w:r>
      <w:r>
        <w:rPr>
          <w:rStyle w:val="13"/>
          <w:rFonts w:hint="eastAsia" w:ascii="仿宋_GB2312" w:hAnsi="仿宋_GB2312" w:eastAsia="仿宋_GB2312" w:cs="仿宋_GB2312"/>
          <w:bCs/>
          <w:color w:val="auto"/>
          <w:sz w:val="32"/>
          <w:szCs w:val="32"/>
          <w:highlight w:val="none"/>
          <w:shd w:val="clear" w:fill="FFFFFF"/>
          <w:lang w:val="en-US" w:eastAsia="zh-CN"/>
        </w:rPr>
        <w:t>负增长29.9%</w:t>
      </w:r>
      <w:r>
        <w:rPr>
          <w:rFonts w:hint="eastAsia" w:ascii="仿宋_GB2312" w:hAnsi="仿宋_GB2312" w:eastAsia="仿宋_GB2312" w:cs="仿宋_GB2312"/>
          <w:bCs/>
          <w:i w:val="0"/>
          <w:caps w:val="0"/>
          <w:color w:val="auto"/>
          <w:spacing w:val="0"/>
          <w:sz w:val="32"/>
          <w:szCs w:val="32"/>
          <w:highlight w:val="none"/>
          <w:shd w:val="clear"/>
          <w:lang w:val="en-US" w:eastAsia="zh-CN"/>
        </w:rPr>
        <w:t>。</w:t>
      </w:r>
      <w:r>
        <w:rPr>
          <w:rFonts w:hint="eastAsia" w:ascii="仿宋_GB2312" w:hAnsi="仿宋_GB2312" w:eastAsia="仿宋_GB2312" w:cs="仿宋_GB2312"/>
          <w:b/>
          <w:bCs w:val="0"/>
          <w:color w:val="auto"/>
          <w:kern w:val="2"/>
          <w:sz w:val="32"/>
          <w:szCs w:val="32"/>
          <w:highlight w:val="none"/>
          <w:lang w:val="en-US" w:eastAsia="zh-CN"/>
        </w:rPr>
        <w:t>三是</w:t>
      </w:r>
      <w:r>
        <w:rPr>
          <w:rFonts w:hint="eastAsia" w:ascii="仿宋_GB2312" w:hAnsi="仿宋_GB2312" w:eastAsia="仿宋_GB2312" w:cs="仿宋_GB2312"/>
          <w:bCs/>
          <w:color w:val="auto"/>
          <w:sz w:val="32"/>
          <w:szCs w:val="32"/>
          <w:highlight w:val="none"/>
        </w:rPr>
        <w:t>围绕工业化、城镇化、现代化</w:t>
      </w:r>
      <w:r>
        <w:rPr>
          <w:rFonts w:hint="eastAsia" w:ascii="仿宋_GB2312" w:hAnsi="仿宋_GB2312" w:eastAsia="仿宋_GB2312" w:cs="仿宋_GB2312"/>
          <w:bCs/>
          <w:color w:val="auto"/>
          <w:sz w:val="32"/>
          <w:szCs w:val="32"/>
          <w:highlight w:val="none"/>
          <w:lang w:val="en-US" w:eastAsia="zh-CN"/>
        </w:rPr>
        <w:t>建设</w:t>
      </w:r>
      <w:r>
        <w:rPr>
          <w:rFonts w:hint="eastAsia" w:ascii="仿宋_GB2312" w:hAnsi="仿宋_GB2312" w:eastAsia="仿宋_GB2312" w:cs="仿宋_GB2312"/>
          <w:bCs/>
          <w:color w:val="auto"/>
          <w:sz w:val="32"/>
          <w:szCs w:val="32"/>
          <w:highlight w:val="none"/>
        </w:rPr>
        <w:t>，重点包装推介茶叶、生物药业</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高岭土、城市更新、农产品精深加工等项目30个。</w:t>
      </w:r>
      <w:r>
        <w:rPr>
          <w:rFonts w:hint="eastAsia" w:ascii="仿宋_GB2312" w:hAnsi="仿宋_GB2312" w:eastAsia="仿宋_GB2312" w:cs="仿宋_GB2312"/>
          <w:bCs/>
          <w:color w:val="auto"/>
          <w:sz w:val="32"/>
          <w:szCs w:val="32"/>
          <w:highlight w:val="none"/>
          <w:shd w:val="clear"/>
          <w:lang w:val="en-US" w:eastAsia="zh-CN"/>
        </w:rPr>
        <w:t>全年</w:t>
      </w:r>
      <w:r>
        <w:rPr>
          <w:rFonts w:hint="eastAsia" w:ascii="仿宋_GB2312" w:hAnsi="仿宋_GB2312" w:eastAsia="仿宋_GB2312" w:cs="仿宋_GB2312"/>
          <w:bCs/>
          <w:color w:val="auto"/>
          <w:sz w:val="32"/>
          <w:szCs w:val="32"/>
          <w:highlight w:val="none"/>
          <w:shd w:val="clear"/>
        </w:rPr>
        <w:t>签约项目约10个，完成招商引资到位资金</w:t>
      </w:r>
      <w:r>
        <w:rPr>
          <w:rFonts w:hint="eastAsia" w:ascii="仿宋_GB2312" w:hAnsi="仿宋_GB2312" w:eastAsia="仿宋_GB2312" w:cs="仿宋_GB2312"/>
          <w:bCs/>
          <w:color w:val="auto"/>
          <w:sz w:val="32"/>
          <w:szCs w:val="32"/>
          <w:highlight w:val="none"/>
          <w:shd w:val="clear"/>
          <w:lang w:val="en-US" w:eastAsia="zh-CN"/>
        </w:rPr>
        <w:t>232.11</w:t>
      </w:r>
      <w:r>
        <w:rPr>
          <w:rFonts w:hint="eastAsia" w:ascii="仿宋_GB2312" w:hAnsi="仿宋_GB2312" w:eastAsia="仿宋_GB2312" w:cs="仿宋_GB2312"/>
          <w:bCs/>
          <w:color w:val="auto"/>
          <w:sz w:val="32"/>
          <w:szCs w:val="32"/>
          <w:highlight w:val="none"/>
          <w:shd w:val="clear"/>
        </w:rPr>
        <w:t>亿元，同比</w:t>
      </w:r>
      <w:r>
        <w:rPr>
          <w:rFonts w:hint="eastAsia" w:ascii="仿宋_GB2312" w:hAnsi="仿宋_GB2312" w:eastAsia="仿宋_GB2312" w:cs="仿宋_GB2312"/>
          <w:bCs/>
          <w:color w:val="auto"/>
          <w:sz w:val="32"/>
          <w:szCs w:val="32"/>
          <w:highlight w:val="none"/>
          <w:shd w:val="clear"/>
          <w:lang w:val="en-US" w:eastAsia="zh-CN"/>
        </w:rPr>
        <w:t>增长18.1</w:t>
      </w:r>
      <w:r>
        <w:rPr>
          <w:rFonts w:hint="eastAsia" w:ascii="仿宋_GB2312" w:hAnsi="仿宋_GB2312" w:eastAsia="仿宋_GB2312" w:cs="仿宋_GB2312"/>
          <w:bCs/>
          <w:color w:val="auto"/>
          <w:sz w:val="32"/>
          <w:szCs w:val="32"/>
          <w:highlight w:val="none"/>
          <w:shd w:val="clear"/>
        </w:rPr>
        <w:t>%。</w:t>
      </w:r>
      <w:r>
        <w:rPr>
          <w:rFonts w:hint="eastAsia" w:ascii="仿宋_GB2312" w:hAnsi="仿宋_GB2312" w:eastAsia="仿宋_GB2312" w:cs="仿宋_GB2312"/>
          <w:bCs/>
          <w:color w:val="auto"/>
          <w:sz w:val="32"/>
          <w:szCs w:val="32"/>
          <w:highlight w:val="none"/>
          <w:shd w:val="clear"/>
          <w:lang w:val="en-US" w:eastAsia="zh-CN"/>
        </w:rPr>
        <w:t>其中：省外到位资金176.48亿元，增长18.7%。</w:t>
      </w:r>
    </w:p>
    <w:p>
      <w:pPr>
        <w:keepNext w:val="0"/>
        <w:keepLines w:val="0"/>
        <w:pageBreakBefore w:val="0"/>
        <w:widowControl w:val="0"/>
        <w:numPr>
          <w:ilvl w:val="-1"/>
          <w:numId w:val="0"/>
        </w:numPr>
        <w:pBdr>
          <w:bottom w:val="single" w:color="FFFFFF" w:sz="4" w:space="28"/>
        </w:pBdr>
        <w:kinsoku/>
        <w:wordWrap/>
        <w:overflowPunct/>
        <w:topLinePunct w:val="0"/>
        <w:autoSpaceDE/>
        <w:autoSpaceDN/>
        <w:bidi w:val="0"/>
        <w:adjustRightInd/>
        <w:snapToGrid/>
        <w:spacing w:line="560" w:lineRule="exact"/>
        <w:ind w:left="0" w:leftChars="0" w:right="0" w:rightChars="0" w:firstLine="643" w:firstLineChars="200"/>
        <w:jc w:val="both"/>
        <w:textAlignment w:val="baseline"/>
        <w:outlineLvl w:val="9"/>
        <w:rPr>
          <w:rFonts w:hint="eastAsia" w:ascii="仿宋_GB2312" w:hAnsi="仿宋_GB2312" w:eastAsia="仿宋_GB2312" w:cs="仿宋_GB2312"/>
          <w:color w:val="auto"/>
          <w:spacing w:val="-6"/>
          <w:sz w:val="32"/>
          <w:szCs w:val="32"/>
          <w:lang w:eastAsia="zh-CN"/>
        </w:rPr>
      </w:pPr>
      <w:r>
        <w:rPr>
          <w:rFonts w:hint="eastAsia" w:ascii="楷体_GB2312" w:hAnsi="楷体_GB2312" w:eastAsia="楷体_GB2312" w:cs="楷体_GB2312"/>
          <w:b/>
          <w:bCs/>
          <w:color w:val="auto"/>
          <w:kern w:val="0"/>
          <w:sz w:val="32"/>
          <w:szCs w:val="32"/>
          <w:highlight w:val="none"/>
          <w:shd w:val="clear"/>
          <w:lang w:val="en-US" w:eastAsia="zh-CN" w:bidi="ar"/>
        </w:rPr>
        <w:t>（十）保障和改善民生持续增强。</w:t>
      </w:r>
      <w:r>
        <w:rPr>
          <w:rFonts w:hint="eastAsia" w:ascii="仿宋_GB2312" w:hAnsi="仿宋_GB2312" w:eastAsia="仿宋_GB2312" w:cs="仿宋_GB2312"/>
          <w:b/>
          <w:bCs/>
          <w:color w:val="auto"/>
          <w:kern w:val="2"/>
          <w:sz w:val="32"/>
          <w:szCs w:val="32"/>
          <w:highlight w:val="none"/>
          <w:shd w:val="clear"/>
          <w:lang w:val="en-US" w:eastAsia="zh-CN" w:bidi="ar-SA"/>
        </w:rPr>
        <w:t>铸牢中华民族共同体意识。</w:t>
      </w:r>
      <w:r>
        <w:rPr>
          <w:rFonts w:hint="eastAsia" w:ascii="仿宋_GB2312" w:hAnsi="仿宋_GB2312" w:eastAsia="仿宋_GB2312" w:cs="仿宋_GB2312"/>
          <w:bCs/>
          <w:color w:val="auto"/>
          <w:kern w:val="2"/>
          <w:sz w:val="32"/>
          <w:szCs w:val="32"/>
          <w:highlight w:val="none"/>
          <w:lang w:val="en-US" w:eastAsia="zh-CN" w:bidi="ar-SA"/>
        </w:rPr>
        <w:t>实施民族团结进步示范村（社区）、特色产业发展建设项目8个，成功创建为国家民族团结进步示范区。</w:t>
      </w:r>
      <w:r>
        <w:rPr>
          <w:rFonts w:hint="eastAsia" w:ascii="仿宋_GB2312" w:hAnsi="仿宋_GB2312" w:eastAsia="仿宋_GB2312" w:cs="仿宋_GB2312"/>
          <w:b/>
          <w:bCs/>
          <w:color w:val="auto"/>
          <w:kern w:val="2"/>
          <w:sz w:val="32"/>
          <w:szCs w:val="32"/>
          <w:highlight w:val="none"/>
          <w:u w:val="none"/>
          <w:shd w:val="clear"/>
          <w:lang w:val="en-US" w:eastAsia="zh-CN" w:bidi="ar-SA"/>
        </w:rPr>
        <w:t>教育体育事业稳固提升。</w:t>
      </w:r>
      <w:r>
        <w:rPr>
          <w:rFonts w:hint="eastAsia" w:ascii="仿宋_GB2312" w:hAnsi="仿宋_GB2312" w:eastAsia="仿宋_GB2312" w:cs="仿宋_GB2312"/>
          <w:b w:val="0"/>
          <w:bCs w:val="0"/>
          <w:color w:val="auto"/>
          <w:sz w:val="32"/>
          <w:szCs w:val="32"/>
          <w:lang w:val="en-US" w:eastAsia="zh-CN"/>
        </w:rPr>
        <w:t>全面落实</w:t>
      </w:r>
      <w:r>
        <w:rPr>
          <w:rFonts w:hint="eastAsia" w:ascii="仿宋_GB2312" w:hAnsi="仿宋_GB2312" w:eastAsia="仿宋_GB2312" w:cs="仿宋_GB2312"/>
          <w:b w:val="0"/>
          <w:bCs w:val="0"/>
          <w:i w:val="0"/>
          <w:caps w:val="0"/>
          <w:color w:val="auto"/>
          <w:spacing w:val="0"/>
          <w:w w:val="100"/>
          <w:kern w:val="2"/>
          <w:sz w:val="32"/>
          <w:szCs w:val="32"/>
          <w:lang w:val="en-US" w:eastAsia="zh-CN" w:bidi="ar-SA"/>
        </w:rPr>
        <w:t>“双减”、</w:t>
      </w:r>
      <w:bookmarkStart w:id="2" w:name="_GoBack"/>
      <w:bookmarkEnd w:id="2"/>
      <w:r>
        <w:rPr>
          <w:rFonts w:hint="eastAsia" w:ascii="仿宋_GB2312" w:hAnsi="仿宋_GB2312" w:eastAsia="仿宋_GB2312" w:cs="仿宋_GB2312"/>
          <w:b w:val="0"/>
          <w:bCs w:val="0"/>
          <w:color w:val="auto"/>
          <w:sz w:val="32"/>
          <w:szCs w:val="32"/>
          <w:lang w:val="en-US" w:eastAsia="zh-CN"/>
        </w:rPr>
        <w:t>控辍保学和</w:t>
      </w:r>
      <w:r>
        <w:rPr>
          <w:rFonts w:hint="eastAsia" w:ascii="仿宋_GB2312" w:hAnsi="仿宋_GB2312" w:eastAsia="仿宋_GB2312" w:cs="仿宋_GB2312"/>
          <w:b w:val="0"/>
          <w:i w:val="0"/>
          <w:caps w:val="0"/>
          <w:color w:val="auto"/>
          <w:spacing w:val="0"/>
          <w:w w:val="99"/>
          <w:sz w:val="32"/>
          <w:szCs w:val="32"/>
          <w:lang w:val="en-US" w:eastAsia="zh-CN"/>
        </w:rPr>
        <w:t>城区学校划片招生机制。</w:t>
      </w:r>
      <w:r>
        <w:rPr>
          <w:rFonts w:hint="eastAsia" w:ascii="仿宋_GB2312" w:hAnsi="仿宋_GB2312" w:eastAsia="仿宋_GB2312" w:cs="仿宋_GB2312"/>
          <w:bCs/>
          <w:color w:val="auto"/>
          <w:sz w:val="32"/>
          <w:szCs w:val="32"/>
          <w:highlight w:val="none"/>
          <w:shd w:val="clear"/>
          <w:lang w:val="en-US" w:eastAsia="zh-CN"/>
        </w:rPr>
        <w:t>学前三年毛入园率达94.29%，义务教育巩固率达98.86%，高中阶段毛入学率达93.05%，区一中总上线率达100%。</w:t>
      </w:r>
      <w:r>
        <w:rPr>
          <w:rFonts w:hint="eastAsia" w:ascii="仿宋_GB2312" w:hAnsi="仿宋_GB2312" w:eastAsia="仿宋_GB2312" w:cs="仿宋_GB2312"/>
          <w:b w:val="0"/>
          <w:bCs/>
          <w:i w:val="0"/>
          <w:caps w:val="0"/>
          <w:color w:val="auto"/>
          <w:spacing w:val="0"/>
          <w:w w:val="100"/>
          <w:sz w:val="32"/>
          <w:szCs w:val="32"/>
          <w:highlight w:val="none"/>
          <w:lang w:val="en-US" w:eastAsia="zh-CN"/>
        </w:rPr>
        <w:t>建成体育场地22个，组建体育协会9个，开展赛事3场次。</w:t>
      </w:r>
      <w:r>
        <w:rPr>
          <w:rFonts w:hint="eastAsia" w:ascii="仿宋_GB2312" w:hAnsi="仿宋_GB2312" w:eastAsia="仿宋_GB2312" w:cs="仿宋_GB2312"/>
          <w:bCs/>
          <w:i w:val="0"/>
          <w:caps w:val="0"/>
          <w:color w:val="auto"/>
          <w:spacing w:val="0"/>
          <w:sz w:val="32"/>
          <w:szCs w:val="32"/>
          <w:highlight w:val="none"/>
          <w:shd w:val="clear"/>
        </w:rPr>
        <w:t>钟永渊在全国第十一届残疾人运动会暨第八届特殊奥林匹克运动会上</w:t>
      </w:r>
      <w:r>
        <w:rPr>
          <w:rFonts w:hint="eastAsia" w:ascii="仿宋_GB2312" w:hAnsi="仿宋_GB2312" w:eastAsia="仿宋_GB2312" w:cs="仿宋_GB2312"/>
          <w:bCs/>
          <w:i w:val="0"/>
          <w:caps w:val="0"/>
          <w:color w:val="auto"/>
          <w:spacing w:val="0"/>
          <w:sz w:val="32"/>
          <w:szCs w:val="32"/>
          <w:highlight w:val="none"/>
          <w:shd w:val="clear"/>
          <w:lang w:eastAsia="zh-CN"/>
        </w:rPr>
        <w:t>，</w:t>
      </w:r>
      <w:r>
        <w:rPr>
          <w:rFonts w:hint="eastAsia" w:ascii="仿宋_GB2312" w:hAnsi="仿宋_GB2312" w:eastAsia="仿宋_GB2312" w:cs="仿宋_GB2312"/>
          <w:bCs/>
          <w:i w:val="0"/>
          <w:caps w:val="0"/>
          <w:color w:val="auto"/>
          <w:spacing w:val="0"/>
          <w:sz w:val="32"/>
          <w:szCs w:val="32"/>
          <w:highlight w:val="none"/>
          <w:shd w:val="clear"/>
        </w:rPr>
        <w:t>获女子三级划艇500米及200米两项比赛金牌。</w:t>
      </w:r>
      <w:r>
        <w:rPr>
          <w:rFonts w:hint="eastAsia" w:ascii="仿宋_GB2312" w:hAnsi="仿宋_GB2312" w:eastAsia="仿宋_GB2312" w:cs="仿宋_GB2312"/>
          <w:bCs/>
          <w:color w:val="auto"/>
          <w:sz w:val="32"/>
          <w:szCs w:val="32"/>
          <w:highlight w:val="none"/>
        </w:rPr>
        <w:t>区第一中学</w:t>
      </w:r>
      <w:r>
        <w:rPr>
          <w:rFonts w:hint="eastAsia" w:ascii="仿宋_GB2312" w:hAnsi="仿宋_GB2312" w:eastAsia="仿宋_GB2312" w:cs="仿宋_GB2312"/>
          <w:bCs/>
          <w:color w:val="auto"/>
          <w:sz w:val="32"/>
          <w:szCs w:val="32"/>
          <w:highlight w:val="none"/>
          <w:lang w:val="en-US" w:eastAsia="zh-CN"/>
        </w:rPr>
        <w:t>改扩建竣工并</w:t>
      </w:r>
      <w:r>
        <w:rPr>
          <w:rFonts w:hint="eastAsia" w:ascii="仿宋_GB2312" w:hAnsi="仿宋_GB2312" w:eastAsia="仿宋_GB2312" w:cs="仿宋_GB2312"/>
          <w:color w:val="auto"/>
          <w:spacing w:val="0"/>
          <w:position w:val="0"/>
          <w:sz w:val="32"/>
          <w:szCs w:val="32"/>
          <w:shd w:val="clear" w:color="auto" w:fill="auto"/>
        </w:rPr>
        <w:t>投入使用</w:t>
      </w:r>
      <w:r>
        <w:rPr>
          <w:rFonts w:hint="eastAsia" w:ascii="仿宋_GB2312" w:hAnsi="仿宋_GB2312" w:eastAsia="仿宋_GB2312" w:cs="仿宋_GB2312"/>
          <w:color w:val="auto"/>
          <w:spacing w:val="0"/>
          <w:position w:val="0"/>
          <w:sz w:val="32"/>
          <w:szCs w:val="32"/>
          <w:shd w:val="clear" w:color="auto" w:fill="auto"/>
          <w:lang w:eastAsia="zh-CN"/>
        </w:rPr>
        <w:t>，</w:t>
      </w:r>
      <w:r>
        <w:rPr>
          <w:rFonts w:hint="eastAsia" w:ascii="仿宋_GB2312" w:hAnsi="仿宋_GB2312" w:eastAsia="仿宋_GB2312" w:cs="仿宋_GB2312"/>
          <w:bCs/>
          <w:color w:val="auto"/>
          <w:sz w:val="32"/>
          <w:szCs w:val="32"/>
          <w:highlight w:val="none"/>
          <w:shd w:val="clear"/>
          <w:lang w:val="en-US" w:eastAsia="zh-CN"/>
        </w:rPr>
        <w:t>新建改扩建幼儿园2所、义务教育学校10所，</w:t>
      </w:r>
      <w:r>
        <w:rPr>
          <w:rFonts w:hint="eastAsia" w:ascii="仿宋_GB2312" w:hAnsi="仿宋_GB2312" w:eastAsia="仿宋_GB2312" w:cs="仿宋_GB2312"/>
          <w:bCs/>
          <w:color w:val="auto"/>
          <w:sz w:val="32"/>
          <w:szCs w:val="32"/>
          <w:highlight w:val="none"/>
        </w:rPr>
        <w:t>区第三中学普通高中建设</w:t>
      </w:r>
      <w:r>
        <w:rPr>
          <w:rFonts w:hint="eastAsia" w:ascii="仿宋_GB2312" w:hAnsi="仿宋_GB2312" w:eastAsia="仿宋_GB2312" w:cs="仿宋_GB2312"/>
          <w:bCs/>
          <w:color w:val="auto"/>
          <w:sz w:val="32"/>
          <w:szCs w:val="32"/>
          <w:highlight w:val="none"/>
          <w:shd w:val="clear"/>
          <w:lang w:val="en-US" w:eastAsia="zh-CN"/>
        </w:rPr>
        <w:t>加快，</w:t>
      </w:r>
      <w:r>
        <w:rPr>
          <w:rFonts w:hint="eastAsia" w:ascii="仿宋_GB2312" w:hAnsi="仿宋_GB2312" w:eastAsia="仿宋_GB2312" w:cs="仿宋_GB2312"/>
          <w:bCs/>
          <w:color w:val="auto"/>
          <w:sz w:val="32"/>
          <w:szCs w:val="32"/>
          <w:highlight w:val="none"/>
        </w:rPr>
        <w:t>城南小学标准化</w:t>
      </w:r>
      <w:r>
        <w:rPr>
          <w:rFonts w:hint="eastAsia" w:ascii="仿宋_GB2312" w:hAnsi="仿宋_GB2312" w:eastAsia="仿宋_GB2312" w:cs="仿宋_GB2312"/>
          <w:bCs/>
          <w:color w:val="auto"/>
          <w:sz w:val="32"/>
          <w:szCs w:val="32"/>
          <w:highlight w:val="none"/>
          <w:shd w:val="clear"/>
          <w:lang w:val="en-US" w:eastAsia="zh-CN"/>
        </w:rPr>
        <w:t>建设启动实施。</w:t>
      </w:r>
      <w:r>
        <w:rPr>
          <w:rFonts w:hint="eastAsia" w:ascii="仿宋_GB2312" w:hAnsi="仿宋_GB2312" w:eastAsia="仿宋_GB2312" w:cs="仿宋_GB2312"/>
          <w:b/>
          <w:bCs/>
          <w:color w:val="auto"/>
          <w:kern w:val="2"/>
          <w:sz w:val="32"/>
          <w:szCs w:val="32"/>
          <w:highlight w:val="none"/>
          <w:u w:val="none"/>
          <w:shd w:val="clear"/>
          <w:lang w:val="en-US" w:eastAsia="zh-CN" w:bidi="ar-SA"/>
        </w:rPr>
        <w:t>健康临翔持续推进</w:t>
      </w:r>
      <w:r>
        <w:rPr>
          <w:rFonts w:hint="eastAsia" w:ascii="仿宋_GB2312" w:hAnsi="仿宋_GB2312" w:eastAsia="仿宋_GB2312" w:cs="仿宋_GB2312"/>
          <w:color w:val="auto"/>
          <w:kern w:val="2"/>
          <w:sz w:val="32"/>
          <w:szCs w:val="32"/>
          <w:highlight w:val="none"/>
          <w:u w:val="none"/>
          <w:shd w:val="clear"/>
          <w:lang w:val="en-US" w:eastAsia="zh-CN" w:bidi="ar-SA"/>
        </w:rPr>
        <w:t>。</w:t>
      </w:r>
      <w:r>
        <w:rPr>
          <w:rFonts w:hint="eastAsia" w:ascii="仿宋_GB2312" w:hAnsi="仿宋_GB2312" w:eastAsia="仿宋_GB2312" w:cs="仿宋_GB2312"/>
          <w:bCs/>
          <w:color w:val="auto"/>
          <w:sz w:val="32"/>
          <w:szCs w:val="32"/>
          <w:highlight w:val="none"/>
          <w:shd w:val="clear"/>
          <w:lang w:val="en-US" w:eastAsia="zh-CN"/>
        </w:rPr>
        <w:t>区人民医院晋升为三级医院，区妇幼保健院通过省级二级甲等评审验收，胸痛中心通过国家级验收，卒中中心通过省级验收。</w:t>
      </w:r>
      <w:r>
        <w:rPr>
          <w:rFonts w:hint="eastAsia" w:ascii="仿宋_GB2312" w:hAnsi="仿宋_GB2312" w:eastAsia="仿宋_GB2312" w:cs="仿宋_GB2312"/>
          <w:b w:val="0"/>
          <w:bCs w:val="0"/>
          <w:color w:val="auto"/>
          <w:sz w:val="32"/>
          <w:szCs w:val="32"/>
          <w:lang w:val="en-US" w:eastAsia="zh-CN"/>
        </w:rPr>
        <w:t>疾控中心实验楼、中医院住院楼、妇幼保健院搬迁重建</w:t>
      </w:r>
      <w:r>
        <w:rPr>
          <w:rFonts w:hint="eastAsia" w:ascii="仿宋_GB2312" w:hAnsi="仿宋_GB2312" w:eastAsia="仿宋_GB2312" w:cs="仿宋_GB2312"/>
          <w:bCs/>
          <w:color w:val="auto"/>
          <w:sz w:val="32"/>
          <w:szCs w:val="32"/>
          <w:highlight w:val="none"/>
          <w:shd w:val="clear"/>
          <w:lang w:val="en-US" w:eastAsia="zh-CN"/>
        </w:rPr>
        <w:t>投入使用；第二人民医院住院楼加快推进。累计接种新冠疫苗73.8万人次，核酸检测能力日单检7500人份；</w:t>
      </w:r>
      <w:r>
        <w:rPr>
          <w:rFonts w:hint="eastAsia" w:ascii="仿宋_GB2312" w:hAnsi="仿宋_GB2312" w:eastAsia="仿宋_GB2312" w:cs="仿宋_GB2312"/>
          <w:bCs/>
          <w:color w:val="auto"/>
          <w:sz w:val="32"/>
          <w:szCs w:val="32"/>
          <w:highlight w:val="none"/>
          <w:shd w:val="clear"/>
        </w:rPr>
        <w:t>基础免疫疫苗接种率达</w:t>
      </w:r>
      <w:r>
        <w:rPr>
          <w:rFonts w:hint="eastAsia" w:ascii="仿宋_GB2312" w:hAnsi="仿宋_GB2312" w:eastAsia="仿宋_GB2312" w:cs="仿宋_GB2312"/>
          <w:bCs/>
          <w:color w:val="auto"/>
          <w:sz w:val="32"/>
          <w:szCs w:val="32"/>
          <w:highlight w:val="none"/>
          <w:shd w:val="clear"/>
          <w:lang w:val="en-US" w:eastAsia="zh-CN"/>
        </w:rPr>
        <w:t>97.26</w:t>
      </w:r>
      <w:r>
        <w:rPr>
          <w:rFonts w:hint="eastAsia" w:ascii="仿宋_GB2312" w:hAnsi="仿宋_GB2312" w:eastAsia="仿宋_GB2312" w:cs="仿宋_GB2312"/>
          <w:bCs/>
          <w:color w:val="auto"/>
          <w:sz w:val="32"/>
          <w:szCs w:val="32"/>
          <w:highlight w:val="none"/>
          <w:shd w:val="clear"/>
        </w:rPr>
        <w:t>%</w:t>
      </w:r>
      <w:r>
        <w:rPr>
          <w:rFonts w:hint="eastAsia" w:ascii="仿宋_GB2312" w:hAnsi="仿宋_GB2312" w:eastAsia="仿宋_GB2312" w:cs="仿宋_GB2312"/>
          <w:bCs/>
          <w:color w:val="auto"/>
          <w:sz w:val="32"/>
          <w:szCs w:val="32"/>
          <w:highlight w:val="none"/>
          <w:shd w:val="clear"/>
          <w:lang w:eastAsia="zh-CN"/>
        </w:rPr>
        <w:t>；</w:t>
      </w:r>
      <w:r>
        <w:rPr>
          <w:rFonts w:hint="eastAsia" w:ascii="仿宋_GB2312" w:hAnsi="仿宋_GB2312" w:eastAsia="仿宋_GB2312" w:cs="仿宋_GB2312"/>
          <w:bCs/>
          <w:color w:val="auto"/>
          <w:sz w:val="32"/>
          <w:szCs w:val="32"/>
          <w:highlight w:val="none"/>
          <w:shd w:val="clear"/>
          <w:lang w:val="en-US" w:eastAsia="zh-CN"/>
        </w:rPr>
        <w:t>医疗参保率达97.07%</w:t>
      </w:r>
      <w:r>
        <w:rPr>
          <w:rFonts w:hint="eastAsia" w:ascii="仿宋_GB2312" w:hAnsi="仿宋_GB2312" w:eastAsia="仿宋_GB2312" w:cs="仿宋_GB2312"/>
          <w:bCs/>
          <w:color w:val="auto"/>
          <w:sz w:val="32"/>
          <w:szCs w:val="32"/>
          <w:highlight w:val="none"/>
          <w:shd w:val="clear"/>
        </w:rPr>
        <w:t>。</w:t>
      </w:r>
      <w:r>
        <w:rPr>
          <w:rFonts w:hint="eastAsia" w:ascii="仿宋_GB2312" w:hAnsi="仿宋_GB2312" w:eastAsia="仿宋_GB2312" w:cs="仿宋_GB2312"/>
          <w:b/>
          <w:bCs/>
          <w:color w:val="auto"/>
          <w:spacing w:val="-6"/>
          <w:sz w:val="32"/>
          <w:szCs w:val="32"/>
          <w:lang w:val="en-US" w:eastAsia="zh-CN"/>
        </w:rPr>
        <w:t>居民就业水平不断提升。</w:t>
      </w:r>
      <w:r>
        <w:rPr>
          <w:rFonts w:hint="eastAsia" w:ascii="仿宋_GB2312" w:hAnsi="仿宋_GB2312" w:eastAsia="仿宋_GB2312" w:cs="仿宋_GB2312"/>
          <w:color w:val="auto"/>
          <w:spacing w:val="-6"/>
          <w:sz w:val="32"/>
          <w:szCs w:val="32"/>
        </w:rPr>
        <w:t>做好高校毕业生、农民工、退役军人等重点群体就业工作。巩固和拓展减税降费成效，多措并举保持就业形势稳定。新增城镇就业</w:t>
      </w:r>
      <w:r>
        <w:rPr>
          <w:rFonts w:hint="eastAsia" w:ascii="仿宋_GB2312" w:hAnsi="仿宋_GB2312" w:eastAsia="仿宋_GB2312" w:cs="仿宋_GB2312"/>
          <w:color w:val="auto"/>
          <w:spacing w:val="-6"/>
          <w:sz w:val="32"/>
          <w:szCs w:val="32"/>
          <w:lang w:val="en-US" w:eastAsia="zh-CN"/>
        </w:rPr>
        <w:t>5703</w:t>
      </w:r>
      <w:r>
        <w:rPr>
          <w:rFonts w:hint="eastAsia" w:ascii="仿宋_GB2312" w:hAnsi="仿宋_GB2312" w:eastAsia="仿宋_GB2312" w:cs="仿宋_GB2312"/>
          <w:color w:val="auto"/>
          <w:spacing w:val="-6"/>
          <w:sz w:val="32"/>
          <w:szCs w:val="32"/>
        </w:rPr>
        <w:t>人，</w:t>
      </w:r>
      <w:r>
        <w:rPr>
          <w:rFonts w:hint="eastAsia" w:ascii="仿宋_GB2312" w:hAnsi="仿宋_GB2312" w:eastAsia="仿宋_GB2312" w:cs="仿宋_GB2312"/>
          <w:color w:val="auto"/>
          <w:spacing w:val="-6"/>
          <w:sz w:val="32"/>
          <w:szCs w:val="32"/>
          <w:lang w:val="en-US" w:eastAsia="zh-CN"/>
        </w:rPr>
        <w:t>新</w:t>
      </w:r>
      <w:r>
        <w:rPr>
          <w:rFonts w:hint="eastAsia" w:ascii="仿宋_GB2312" w:hAnsi="仿宋_GB2312" w:eastAsia="仿宋_GB2312" w:cs="仿宋_GB2312"/>
          <w:color w:val="auto"/>
          <w:spacing w:val="-6"/>
          <w:sz w:val="32"/>
          <w:szCs w:val="32"/>
        </w:rPr>
        <w:t>开发公益性岗位</w:t>
      </w:r>
      <w:r>
        <w:rPr>
          <w:rFonts w:hint="eastAsia" w:ascii="仿宋_GB2312" w:hAnsi="仿宋_GB2312" w:eastAsia="仿宋_GB2312" w:cs="仿宋_GB2312"/>
          <w:color w:val="auto"/>
          <w:spacing w:val="-6"/>
          <w:sz w:val="32"/>
          <w:szCs w:val="32"/>
          <w:lang w:val="en-US" w:eastAsia="zh-CN"/>
        </w:rPr>
        <w:t>300</w:t>
      </w:r>
      <w:r>
        <w:rPr>
          <w:rFonts w:hint="eastAsia" w:ascii="仿宋_GB2312" w:hAnsi="仿宋_GB2312" w:eastAsia="仿宋_GB2312" w:cs="仿宋_GB2312"/>
          <w:color w:val="auto"/>
          <w:spacing w:val="-6"/>
          <w:sz w:val="32"/>
          <w:szCs w:val="32"/>
        </w:rPr>
        <w:t>个</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lang w:val="en-US" w:eastAsia="zh-CN"/>
        </w:rPr>
        <w:t>培训</w:t>
      </w:r>
      <w:r>
        <w:rPr>
          <w:rFonts w:hint="eastAsia" w:ascii="仿宋_GB2312" w:hAnsi="仿宋_GB2312" w:eastAsia="仿宋_GB2312" w:cs="仿宋_GB2312"/>
          <w:color w:val="auto"/>
          <w:spacing w:val="-6"/>
          <w:sz w:val="32"/>
          <w:szCs w:val="32"/>
        </w:rPr>
        <w:t>农村劳动力转移就业</w:t>
      </w:r>
      <w:r>
        <w:rPr>
          <w:rFonts w:hint="eastAsia" w:ascii="仿宋_GB2312" w:hAnsi="仿宋_GB2312" w:eastAsia="仿宋_GB2312" w:cs="仿宋_GB2312"/>
          <w:color w:val="auto"/>
          <w:spacing w:val="-6"/>
          <w:sz w:val="32"/>
          <w:szCs w:val="32"/>
          <w:lang w:val="en-US" w:eastAsia="zh-CN"/>
        </w:rPr>
        <w:t>10.98</w:t>
      </w:r>
      <w:r>
        <w:rPr>
          <w:rFonts w:hint="eastAsia" w:ascii="仿宋_GB2312" w:hAnsi="仿宋_GB2312" w:eastAsia="仿宋_GB2312" w:cs="仿宋_GB2312"/>
          <w:color w:val="auto"/>
          <w:spacing w:val="-6"/>
          <w:sz w:val="32"/>
          <w:szCs w:val="32"/>
        </w:rPr>
        <w:t>万人</w:t>
      </w:r>
      <w:r>
        <w:rPr>
          <w:rFonts w:hint="eastAsia" w:ascii="仿宋_GB2312" w:hAnsi="仿宋_GB2312" w:eastAsia="仿宋_GB2312" w:cs="仿宋_GB2312"/>
          <w:color w:val="auto"/>
          <w:spacing w:val="-6"/>
          <w:sz w:val="32"/>
          <w:szCs w:val="32"/>
          <w:lang w:val="en-US" w:eastAsia="zh-CN"/>
        </w:rPr>
        <w:t>次。</w:t>
      </w:r>
      <w:r>
        <w:rPr>
          <w:rFonts w:hint="eastAsia" w:ascii="仿宋_GB2312" w:hAnsi="仿宋_GB2312" w:eastAsia="仿宋_GB2312" w:cs="仿宋_GB2312"/>
          <w:color w:val="auto"/>
          <w:kern w:val="2"/>
          <w:sz w:val="32"/>
          <w:szCs w:val="32"/>
          <w:lang w:val="en-US" w:eastAsia="zh-CN"/>
        </w:rPr>
        <w:t>扶持创业担保贷款862人，发放贷款15723万元，带动就业2772人。</w:t>
      </w:r>
      <w:r>
        <w:rPr>
          <w:rFonts w:hint="eastAsia" w:ascii="仿宋_GB2312" w:hAnsi="仿宋_GB2312" w:eastAsia="仿宋_GB2312" w:cs="仿宋_GB2312"/>
          <w:b/>
          <w:color w:val="auto"/>
          <w:sz w:val="32"/>
          <w:szCs w:val="32"/>
        </w:rPr>
        <w:t>民生保障不断改善。</w:t>
      </w:r>
      <w:r>
        <w:rPr>
          <w:rFonts w:hint="eastAsia" w:ascii="仿宋_GB2312" w:hAnsi="仿宋_GB2312" w:eastAsia="仿宋_GB2312" w:cs="仿宋_GB2312"/>
          <w:bCs/>
          <w:color w:val="auto"/>
          <w:sz w:val="32"/>
          <w:szCs w:val="32"/>
        </w:rPr>
        <w:t>全面实施全民参保计划，累计发放低保金</w:t>
      </w:r>
      <w:r>
        <w:rPr>
          <w:rFonts w:hint="eastAsia" w:ascii="仿宋_GB2312" w:hAnsi="仿宋_GB2312" w:eastAsia="仿宋_GB2312" w:cs="仿宋_GB2312"/>
          <w:bCs/>
          <w:color w:val="auto"/>
          <w:sz w:val="32"/>
          <w:szCs w:val="32"/>
          <w:lang w:val="en-US" w:eastAsia="zh-CN"/>
        </w:rPr>
        <w:t>6497万元；临时救助187.15万元；特困</w:t>
      </w:r>
      <w:r>
        <w:rPr>
          <w:rFonts w:hint="eastAsia" w:ascii="仿宋_GB2312" w:hAnsi="仿宋_GB2312" w:eastAsia="仿宋_GB2312" w:cs="仿宋_GB2312"/>
          <w:bCs/>
          <w:color w:val="auto"/>
          <w:sz w:val="32"/>
          <w:szCs w:val="32"/>
        </w:rPr>
        <w:t>供养金</w:t>
      </w:r>
      <w:r>
        <w:rPr>
          <w:rFonts w:hint="eastAsia" w:ascii="仿宋_GB2312" w:hAnsi="仿宋_GB2312" w:eastAsia="仿宋_GB2312" w:cs="仿宋_GB2312"/>
          <w:bCs/>
          <w:color w:val="auto"/>
          <w:sz w:val="32"/>
          <w:szCs w:val="32"/>
          <w:lang w:val="en-US" w:eastAsia="zh-CN"/>
        </w:rPr>
        <w:t>1366.88万元</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highlight w:val="none"/>
          <w:lang w:val="en-US" w:eastAsia="zh-CN"/>
        </w:rPr>
        <w:t>建成乡级公墓3个，村级公墓20个，</w:t>
      </w:r>
      <w:r>
        <w:rPr>
          <w:rFonts w:hint="eastAsia" w:ascii="仿宋_GB2312" w:hAnsi="仿宋_GB2312" w:eastAsia="仿宋_GB2312" w:cs="仿宋_GB2312"/>
          <w:color w:val="auto"/>
          <w:sz w:val="32"/>
          <w:szCs w:val="32"/>
          <w:lang w:val="en-US" w:eastAsia="zh-CN"/>
        </w:rPr>
        <w:t>临翔城市公墓前期工作加快推进</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
          <w:color w:val="auto"/>
          <w:sz w:val="32"/>
          <w:szCs w:val="32"/>
        </w:rPr>
        <w:t>平安临翔成效显著。</w:t>
      </w:r>
      <w:r>
        <w:rPr>
          <w:rFonts w:hint="eastAsia" w:ascii="仿宋_GB2312" w:hAnsi="仿宋_GB2312" w:eastAsia="仿宋_GB2312" w:cs="仿宋_GB2312"/>
          <w:color w:val="auto"/>
          <w:spacing w:val="-6"/>
          <w:w w:val="100"/>
          <w:sz w:val="32"/>
          <w:szCs w:val="32"/>
          <w:lang w:val="en-US" w:eastAsia="zh-CN"/>
        </w:rPr>
        <w:t>扎实开展政法队伍教育整顿工作，1名民警被公安部表彰为扫黑除恶专项斗争成绩突出个人，1名民警荣立个人一等功，1个派出所被评为省级民族团结进步示范单位、省级文明单位。</w:t>
      </w:r>
      <w:r>
        <w:rPr>
          <w:rFonts w:hint="eastAsia" w:ascii="仿宋_GB2312" w:hAnsi="仿宋_GB2312" w:eastAsia="仿宋_GB2312" w:cs="仿宋_GB2312"/>
          <w:b w:val="0"/>
          <w:bCs w:val="0"/>
          <w:color w:val="auto"/>
          <w:spacing w:val="-6"/>
          <w:sz w:val="32"/>
          <w:szCs w:val="32"/>
          <w:lang w:eastAsia="zh-CN"/>
        </w:rPr>
        <w:t>扎实推进扫黑除恶专项斗争常态化工作，</w:t>
      </w:r>
      <w:r>
        <w:rPr>
          <w:rFonts w:hint="eastAsia" w:ascii="仿宋_GB2312" w:hAnsi="仿宋_GB2312" w:eastAsia="仿宋_GB2312" w:cs="仿宋_GB2312"/>
          <w:b w:val="0"/>
          <w:bCs w:val="0"/>
          <w:color w:val="auto"/>
          <w:spacing w:val="-6"/>
          <w:sz w:val="32"/>
          <w:szCs w:val="32"/>
          <w:lang w:val="en-US" w:eastAsia="zh-CN"/>
        </w:rPr>
        <w:t>打掉一个涉恶团伙18人</w:t>
      </w:r>
      <w:r>
        <w:rPr>
          <w:rFonts w:hint="eastAsia" w:ascii="仿宋_GB2312" w:hAnsi="仿宋_GB2312" w:eastAsia="仿宋_GB2312" w:cs="仿宋_GB2312"/>
          <w:b w:val="0"/>
          <w:bCs w:val="0"/>
          <w:color w:val="auto"/>
          <w:spacing w:val="-6"/>
          <w:sz w:val="32"/>
          <w:szCs w:val="32"/>
          <w:lang w:eastAsia="zh-CN"/>
        </w:rPr>
        <w:t>；</w:t>
      </w:r>
      <w:r>
        <w:rPr>
          <w:rFonts w:hint="eastAsia" w:ascii="仿宋_GB2312" w:hAnsi="仿宋_GB2312" w:eastAsia="仿宋_GB2312" w:cs="仿宋_GB2312"/>
          <w:b w:val="0"/>
          <w:bCs w:val="0"/>
          <w:color w:val="auto"/>
          <w:spacing w:val="-6"/>
          <w:sz w:val="32"/>
          <w:szCs w:val="32"/>
          <w:lang w:val="en-US"/>
        </w:rPr>
        <w:t>严打各类刑事犯罪，</w:t>
      </w:r>
      <w:r>
        <w:rPr>
          <w:rFonts w:hint="eastAsia" w:ascii="仿宋_GB2312" w:hAnsi="仿宋_GB2312" w:eastAsia="仿宋_GB2312" w:cs="仿宋_GB2312"/>
          <w:b w:val="0"/>
          <w:bCs w:val="0"/>
          <w:color w:val="auto"/>
          <w:spacing w:val="-6"/>
          <w:sz w:val="32"/>
          <w:szCs w:val="32"/>
          <w:lang w:eastAsia="zh-CN"/>
        </w:rPr>
        <w:t>破获</w:t>
      </w:r>
      <w:r>
        <w:rPr>
          <w:rFonts w:hint="eastAsia" w:ascii="仿宋_GB2312" w:hAnsi="仿宋_GB2312" w:eastAsia="仿宋_GB2312" w:cs="仿宋_GB2312"/>
          <w:b w:val="0"/>
          <w:bCs w:val="0"/>
          <w:color w:val="auto"/>
          <w:spacing w:val="-6"/>
          <w:sz w:val="32"/>
          <w:szCs w:val="32"/>
        </w:rPr>
        <w:t>刑事案件588起</w:t>
      </w:r>
      <w:r>
        <w:rPr>
          <w:rFonts w:hint="eastAsia" w:ascii="仿宋_GB2312" w:hAnsi="仿宋_GB2312" w:eastAsia="仿宋_GB2312" w:cs="仿宋_GB2312"/>
          <w:b w:val="0"/>
          <w:bCs w:val="0"/>
          <w:color w:val="auto"/>
          <w:spacing w:val="-6"/>
          <w:sz w:val="32"/>
          <w:szCs w:val="32"/>
          <w:lang w:eastAsia="zh-CN"/>
        </w:rPr>
        <w:t>、</w:t>
      </w:r>
      <w:r>
        <w:rPr>
          <w:rFonts w:hint="eastAsia" w:ascii="仿宋_GB2312" w:hAnsi="仿宋_GB2312" w:eastAsia="仿宋_GB2312" w:cs="仿宋_GB2312"/>
          <w:b w:val="0"/>
          <w:bCs w:val="0"/>
          <w:color w:val="auto"/>
          <w:spacing w:val="-6"/>
          <w:sz w:val="32"/>
          <w:szCs w:val="32"/>
          <w:lang w:val="en-US"/>
        </w:rPr>
        <w:t>跨境刑事案件79起、电信网络诈骗案件</w:t>
      </w:r>
      <w:r>
        <w:rPr>
          <w:rFonts w:hint="eastAsia" w:ascii="仿宋_GB2312" w:hAnsi="仿宋_GB2312" w:eastAsia="仿宋_GB2312" w:cs="仿宋_GB2312"/>
          <w:b w:val="0"/>
          <w:bCs w:val="0"/>
          <w:color w:val="auto"/>
          <w:spacing w:val="-6"/>
          <w:sz w:val="32"/>
          <w:szCs w:val="32"/>
          <w:lang w:val="en-US" w:eastAsia="zh-CN"/>
        </w:rPr>
        <w:t>130起，</w:t>
      </w:r>
      <w:r>
        <w:rPr>
          <w:rFonts w:hint="eastAsia" w:ascii="仿宋_GB2312" w:hAnsi="仿宋_GB2312" w:eastAsia="仿宋_GB2312" w:cs="仿宋_GB2312"/>
          <w:b w:val="0"/>
          <w:bCs w:val="0"/>
          <w:color w:val="auto"/>
          <w:spacing w:val="-6"/>
          <w:sz w:val="32"/>
          <w:szCs w:val="32"/>
        </w:rPr>
        <w:t>社会治安持续向好。</w:t>
      </w:r>
      <w:r>
        <w:rPr>
          <w:rFonts w:hint="eastAsia" w:ascii="仿宋_GB2312" w:hAnsi="仿宋_GB2312" w:eastAsia="仿宋_GB2312" w:cs="仿宋_GB2312"/>
          <w:color w:val="auto"/>
          <w:spacing w:val="-6"/>
          <w:sz w:val="32"/>
          <w:szCs w:val="32"/>
          <w:lang w:val="en-US" w:eastAsia="zh-CN"/>
        </w:rPr>
        <w:t>全面启动“八五”普法规划，</w:t>
      </w:r>
      <w:r>
        <w:rPr>
          <w:rFonts w:hint="eastAsia" w:ascii="仿宋_GB2312" w:hAnsi="仿宋_GB2312" w:eastAsia="仿宋_GB2312" w:cs="仿宋_GB2312"/>
          <w:b w:val="0"/>
          <w:bCs w:val="0"/>
          <w:color w:val="auto"/>
          <w:spacing w:val="-6"/>
          <w:sz w:val="32"/>
          <w:szCs w:val="32"/>
          <w:lang w:eastAsia="zh-CN"/>
        </w:rPr>
        <w:t>建成</w:t>
      </w:r>
      <w:r>
        <w:rPr>
          <w:rFonts w:hint="eastAsia" w:ascii="仿宋_GB2312" w:hAnsi="仿宋_GB2312" w:eastAsia="仿宋_GB2312" w:cs="仿宋_GB2312"/>
          <w:color w:val="auto"/>
          <w:spacing w:val="-6"/>
          <w:sz w:val="32"/>
          <w:szCs w:val="32"/>
          <w:lang w:eastAsia="zh-CN"/>
        </w:rPr>
        <w:t>市级“民主法治示范村（社区）”</w:t>
      </w:r>
      <w:r>
        <w:rPr>
          <w:rFonts w:hint="eastAsia" w:ascii="仿宋_GB2312" w:hAnsi="仿宋_GB2312" w:eastAsia="仿宋_GB2312" w:cs="仿宋_GB2312"/>
          <w:color w:val="auto"/>
          <w:spacing w:val="-6"/>
          <w:sz w:val="32"/>
          <w:szCs w:val="32"/>
          <w:lang w:val="en-US" w:eastAsia="zh-CN"/>
        </w:rPr>
        <w:t>10个，</w:t>
      </w:r>
      <w:r>
        <w:rPr>
          <w:rFonts w:hint="eastAsia" w:ascii="仿宋_GB2312" w:hAnsi="仿宋_GB2312" w:eastAsia="仿宋_GB2312" w:cs="仿宋_GB2312"/>
          <w:i w:val="0"/>
          <w:caps w:val="0"/>
          <w:color w:val="auto"/>
          <w:spacing w:val="-6"/>
          <w:kern w:val="2"/>
          <w:sz w:val="32"/>
          <w:szCs w:val="32"/>
          <w:shd w:val="clear"/>
          <w:lang w:val="en-US" w:eastAsia="zh-CN" w:bidi="ar"/>
        </w:rPr>
        <w:t>获评“十佳社会心理服务地区”称号。李邦红获评助人为乐模范，殷峰获评见义勇为模范，李荣艳荣获第八届云南省道德模范。</w:t>
      </w:r>
      <w:r>
        <w:rPr>
          <w:rFonts w:hint="eastAsia" w:ascii="仿宋_GB2312" w:hAnsi="仿宋_GB2312" w:eastAsia="仿宋_GB2312" w:cs="仿宋_GB2312"/>
          <w:color w:val="auto"/>
          <w:spacing w:val="-6"/>
          <w:sz w:val="32"/>
          <w:szCs w:val="32"/>
        </w:rPr>
        <w:t>深入推进安全生产专项整治三年行动</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bCs w:val="0"/>
          <w:color w:val="auto"/>
          <w:spacing w:val="-6"/>
          <w:sz w:val="32"/>
          <w:szCs w:val="32"/>
        </w:rPr>
        <w:t>安全生产责任制</w:t>
      </w:r>
      <w:r>
        <w:rPr>
          <w:rFonts w:hint="eastAsia" w:ascii="仿宋_GB2312" w:hAnsi="仿宋_GB2312" w:eastAsia="仿宋_GB2312" w:cs="仿宋_GB2312"/>
          <w:bCs w:val="0"/>
          <w:color w:val="auto"/>
          <w:spacing w:val="-6"/>
          <w:sz w:val="32"/>
          <w:szCs w:val="32"/>
          <w:lang w:val="en-US" w:eastAsia="zh-CN"/>
        </w:rPr>
        <w:t>有效</w:t>
      </w:r>
      <w:r>
        <w:rPr>
          <w:rFonts w:hint="eastAsia" w:ascii="仿宋_GB2312" w:hAnsi="仿宋_GB2312" w:eastAsia="仿宋_GB2312" w:cs="仿宋_GB2312"/>
          <w:bCs w:val="0"/>
          <w:color w:val="auto"/>
          <w:spacing w:val="-6"/>
          <w:sz w:val="32"/>
          <w:szCs w:val="32"/>
        </w:rPr>
        <w:t>落实</w:t>
      </w:r>
      <w:r>
        <w:rPr>
          <w:rFonts w:hint="eastAsia" w:ascii="仿宋_GB2312" w:hAnsi="仿宋_GB2312" w:eastAsia="仿宋_GB2312" w:cs="仿宋_GB2312"/>
          <w:bCs w:val="0"/>
          <w:color w:val="auto"/>
          <w:spacing w:val="-6"/>
          <w:sz w:val="32"/>
          <w:szCs w:val="32"/>
          <w:lang w:val="en-US" w:eastAsia="zh-CN"/>
        </w:rPr>
        <w:t>。</w:t>
      </w:r>
      <w:r>
        <w:rPr>
          <w:rFonts w:hint="eastAsia" w:ascii="仿宋_GB2312" w:hAnsi="仿宋_GB2312" w:eastAsia="仿宋_GB2312" w:cs="仿宋_GB2312"/>
          <w:color w:val="auto"/>
          <w:spacing w:val="-6"/>
          <w:sz w:val="32"/>
          <w:szCs w:val="32"/>
        </w:rPr>
        <w:t>退役军人服务保障工作有序推进</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lang w:val="en-US" w:eastAsia="zh-CN"/>
        </w:rPr>
        <w:t>安置退役人员25名，完成20名烈士集中迁葬陵园，</w:t>
      </w:r>
      <w:r>
        <w:rPr>
          <w:rFonts w:hint="eastAsia" w:ascii="仿宋_GB2312" w:hAnsi="仿宋_GB2312" w:eastAsia="仿宋_GB2312" w:cs="仿宋_GB2312"/>
          <w:color w:val="auto"/>
          <w:spacing w:val="-6"/>
          <w:sz w:val="32"/>
          <w:szCs w:val="32"/>
        </w:rPr>
        <w:t>发放抚恤优待金</w:t>
      </w:r>
      <w:r>
        <w:rPr>
          <w:rFonts w:hint="eastAsia" w:ascii="仿宋_GB2312" w:hAnsi="仿宋_GB2312" w:eastAsia="仿宋_GB2312" w:cs="仿宋_GB2312"/>
          <w:color w:val="auto"/>
          <w:spacing w:val="-6"/>
          <w:sz w:val="32"/>
          <w:szCs w:val="32"/>
          <w:lang w:eastAsia="zh-CN"/>
        </w:rPr>
        <w:t>1</w:t>
      </w:r>
      <w:r>
        <w:rPr>
          <w:rFonts w:hint="eastAsia" w:ascii="仿宋_GB2312" w:hAnsi="仿宋_GB2312" w:eastAsia="仿宋_GB2312" w:cs="仿宋_GB2312"/>
          <w:color w:val="auto"/>
          <w:spacing w:val="-6"/>
          <w:sz w:val="32"/>
          <w:szCs w:val="32"/>
          <w:lang w:val="en-US" w:eastAsia="zh-CN"/>
        </w:rPr>
        <w:t>097.2</w:t>
      </w:r>
      <w:r>
        <w:rPr>
          <w:rFonts w:hint="eastAsia" w:ascii="仿宋_GB2312" w:hAnsi="仿宋_GB2312" w:eastAsia="仿宋_GB2312" w:cs="仿宋_GB2312"/>
          <w:color w:val="auto"/>
          <w:spacing w:val="-6"/>
          <w:sz w:val="32"/>
          <w:szCs w:val="32"/>
        </w:rPr>
        <w:t>万元</w:t>
      </w:r>
      <w:r>
        <w:rPr>
          <w:rFonts w:hint="eastAsia" w:ascii="仿宋_GB2312" w:hAnsi="仿宋_GB2312" w:eastAsia="仿宋_GB2312" w:cs="仿宋_GB2312"/>
          <w:color w:val="auto"/>
          <w:spacing w:val="-6"/>
          <w:sz w:val="32"/>
          <w:szCs w:val="32"/>
          <w:lang w:eastAsia="zh-CN"/>
        </w:rPr>
        <w:t>。</w:t>
      </w:r>
    </w:p>
    <w:p>
      <w:pPr>
        <w:keepNext w:val="0"/>
        <w:keepLines w:val="0"/>
        <w:pageBreakBefore w:val="0"/>
        <w:widowControl w:val="0"/>
        <w:numPr>
          <w:ilvl w:val="0"/>
          <w:numId w:val="0"/>
        </w:numPr>
        <w:pBdr>
          <w:bottom w:val="single" w:color="FFFFFF" w:sz="4" w:space="28"/>
        </w:pBdr>
        <w:kinsoku/>
        <w:wordWrap/>
        <w:overflowPunct/>
        <w:topLinePunct w:val="0"/>
        <w:autoSpaceDE/>
        <w:autoSpaceDN/>
        <w:bidi w:val="0"/>
        <w:adjustRightInd/>
        <w:snapToGrid/>
        <w:spacing w:line="560" w:lineRule="exact"/>
        <w:ind w:left="0" w:leftChars="0" w:right="0" w:rightChars="0" w:firstLine="640" w:firstLineChars="200"/>
        <w:jc w:val="both"/>
        <w:textAlignment w:val="baseline"/>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zh-TW" w:eastAsia="zh-CN"/>
        </w:rPr>
        <w:t>防震</w:t>
      </w:r>
      <w:r>
        <w:rPr>
          <w:rFonts w:hint="eastAsia" w:ascii="仿宋_GB2312" w:hAnsi="仿宋_GB2312" w:eastAsia="仿宋_GB2312" w:cs="仿宋_GB2312"/>
          <w:bCs/>
          <w:color w:val="auto"/>
          <w:sz w:val="32"/>
          <w:szCs w:val="32"/>
          <w:lang w:val="zh-TW"/>
        </w:rPr>
        <w:t>减灾</w:t>
      </w:r>
      <w:r>
        <w:rPr>
          <w:rFonts w:hint="eastAsia" w:ascii="仿宋_GB2312" w:hAnsi="仿宋_GB2312" w:eastAsia="仿宋_GB2312" w:cs="仿宋_GB2312"/>
          <w:bCs/>
          <w:color w:val="auto"/>
          <w:sz w:val="32"/>
          <w:szCs w:val="32"/>
          <w:lang w:val="zh-TW" w:eastAsia="zh-CN"/>
        </w:rPr>
        <w:t>、</w:t>
      </w:r>
      <w:r>
        <w:rPr>
          <w:rFonts w:hint="eastAsia" w:ascii="仿宋_GB2312" w:hAnsi="仿宋_GB2312" w:eastAsia="仿宋_GB2312" w:cs="仿宋_GB2312"/>
          <w:bCs/>
          <w:color w:val="auto"/>
          <w:sz w:val="32"/>
          <w:szCs w:val="32"/>
          <w:lang w:val="zh-TW"/>
        </w:rPr>
        <w:t>食品药品安全</w:t>
      </w:r>
      <w:r>
        <w:rPr>
          <w:rFonts w:hint="eastAsia" w:ascii="仿宋_GB2312" w:hAnsi="仿宋_GB2312" w:eastAsia="仿宋_GB2312" w:cs="仿宋_GB2312"/>
          <w:bCs/>
          <w:color w:val="auto"/>
          <w:sz w:val="32"/>
          <w:szCs w:val="32"/>
          <w:lang w:val="zh-TW" w:eastAsia="zh-CN"/>
        </w:rPr>
        <w:t>、</w:t>
      </w:r>
      <w:r>
        <w:rPr>
          <w:rFonts w:hint="eastAsia" w:ascii="仿宋_GB2312" w:hAnsi="仿宋_GB2312" w:eastAsia="仿宋_GB2312" w:cs="仿宋_GB2312"/>
          <w:bCs/>
          <w:color w:val="auto"/>
          <w:sz w:val="32"/>
          <w:szCs w:val="32"/>
          <w:lang w:val="en-US" w:eastAsia="zh-CN"/>
        </w:rPr>
        <w:t>市场保供稳价、档案等各项工作顺利开展。</w:t>
      </w:r>
    </w:p>
    <w:p>
      <w:pPr>
        <w:keepNext w:val="0"/>
        <w:keepLines w:val="0"/>
        <w:pageBreakBefore w:val="0"/>
        <w:widowControl w:val="0"/>
        <w:pBdr>
          <w:bottom w:val="single" w:color="FFFFFF" w:sz="4" w:space="28"/>
        </w:pBdr>
        <w:kinsoku/>
        <w:wordWrap/>
        <w:overflowPunct/>
        <w:topLinePunct w:val="0"/>
        <w:autoSpaceDE w:val="0"/>
        <w:autoSpaceDN/>
        <w:bidi w:val="0"/>
        <w:adjustRightInd w:val="0"/>
        <w:snapToGrid w:val="0"/>
        <w:spacing w:beforeLines="0" w:afterLines="0" w:line="56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highlight w:val="none"/>
          <w:shd w:val="clear"/>
        </w:rPr>
        <w:t>各位代表！</w:t>
      </w:r>
      <w:r>
        <w:rPr>
          <w:rFonts w:hint="eastAsia" w:ascii="仿宋_GB2312" w:hAnsi="仿宋_GB2312" w:eastAsia="仿宋_GB2312" w:cs="仿宋_GB2312"/>
          <w:bCs/>
          <w:color w:val="auto"/>
          <w:sz w:val="32"/>
          <w:szCs w:val="32"/>
          <w:highlight w:val="none"/>
          <w:shd w:val="clear"/>
          <w:lang w:eastAsia="zh-CN"/>
        </w:rPr>
        <w:t>过去一年，</w:t>
      </w:r>
      <w:r>
        <w:rPr>
          <w:rFonts w:hint="eastAsia" w:ascii="仿宋_GB2312" w:hAnsi="仿宋_GB2312" w:eastAsia="仿宋_GB2312" w:cs="仿宋_GB2312"/>
          <w:bCs/>
          <w:color w:val="auto"/>
          <w:sz w:val="32"/>
          <w:szCs w:val="32"/>
          <w:highlight w:val="none"/>
          <w:shd w:val="clear"/>
        </w:rPr>
        <w:t>全区国民经济和社会发展计划执行情况总体良好，取得</w:t>
      </w:r>
      <w:r>
        <w:rPr>
          <w:rFonts w:hint="eastAsia" w:ascii="仿宋_GB2312" w:hAnsi="仿宋_GB2312" w:eastAsia="仿宋_GB2312" w:cs="仿宋_GB2312"/>
          <w:bCs/>
          <w:color w:val="auto"/>
          <w:sz w:val="32"/>
          <w:szCs w:val="32"/>
          <w:highlight w:val="none"/>
          <w:shd w:val="clear"/>
          <w:lang w:eastAsia="zh-CN"/>
        </w:rPr>
        <w:t>这样成绩实属不易</w:t>
      </w:r>
      <w:r>
        <w:rPr>
          <w:rFonts w:hint="eastAsia" w:ascii="仿宋_GB2312" w:hAnsi="仿宋_GB2312" w:eastAsia="仿宋_GB2312" w:cs="仿宋_GB2312"/>
          <w:bCs/>
          <w:color w:val="auto"/>
          <w:sz w:val="32"/>
          <w:szCs w:val="32"/>
          <w:highlight w:val="none"/>
          <w:shd w:val="clear"/>
        </w:rPr>
        <w:t>，</w:t>
      </w:r>
      <w:r>
        <w:rPr>
          <w:rFonts w:hint="eastAsia" w:ascii="仿宋_GB2312" w:hAnsi="仿宋_GB2312" w:eastAsia="仿宋_GB2312" w:cs="仿宋_GB2312"/>
          <w:color w:val="auto"/>
          <w:sz w:val="32"/>
          <w:szCs w:val="32"/>
        </w:rPr>
        <w:t>是以习近平新时代中国特色社会主义思想科学指引的结果，是区委带领全区上下共同努力的结果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Cs/>
          <w:color w:val="auto"/>
          <w:sz w:val="32"/>
          <w:szCs w:val="32"/>
          <w:highlight w:val="none"/>
          <w:shd w:val="clear"/>
        </w:rPr>
        <w:t>是</w:t>
      </w:r>
      <w:r>
        <w:rPr>
          <w:rFonts w:hint="eastAsia" w:ascii="仿宋_GB2312" w:hAnsi="仿宋_GB2312" w:eastAsia="仿宋_GB2312" w:cs="仿宋_GB2312"/>
          <w:bCs/>
          <w:color w:val="auto"/>
          <w:sz w:val="32"/>
          <w:szCs w:val="32"/>
          <w:highlight w:val="none"/>
          <w:shd w:val="clear"/>
          <w:lang w:eastAsia="zh-CN"/>
        </w:rPr>
        <w:t>区</w:t>
      </w:r>
      <w:r>
        <w:rPr>
          <w:rFonts w:hint="eastAsia" w:ascii="仿宋_GB2312" w:hAnsi="仿宋_GB2312" w:eastAsia="仿宋_GB2312" w:cs="仿宋_GB2312"/>
          <w:bCs/>
          <w:color w:val="auto"/>
          <w:sz w:val="32"/>
          <w:szCs w:val="32"/>
          <w:highlight w:val="none"/>
          <w:shd w:val="clear"/>
        </w:rPr>
        <w:t>人大有效监督</w:t>
      </w:r>
      <w:r>
        <w:rPr>
          <w:rFonts w:hint="eastAsia" w:ascii="仿宋_GB2312" w:hAnsi="仿宋_GB2312" w:eastAsia="仿宋_GB2312" w:cs="仿宋_GB2312"/>
          <w:bCs/>
          <w:color w:val="auto"/>
          <w:sz w:val="32"/>
          <w:szCs w:val="32"/>
          <w:highlight w:val="none"/>
          <w:shd w:val="clear"/>
          <w:lang w:val="en-US" w:eastAsia="zh-CN"/>
        </w:rPr>
        <w:t>和区政协民主监督</w:t>
      </w:r>
      <w:r>
        <w:rPr>
          <w:rFonts w:hint="eastAsia" w:ascii="仿宋_GB2312" w:hAnsi="仿宋_GB2312" w:eastAsia="仿宋_GB2312" w:cs="仿宋_GB2312"/>
          <w:bCs/>
          <w:color w:val="auto"/>
          <w:sz w:val="32"/>
          <w:szCs w:val="32"/>
          <w:highlight w:val="none"/>
          <w:shd w:val="clear"/>
        </w:rPr>
        <w:t>的结果</w:t>
      </w:r>
      <w:r>
        <w:rPr>
          <w:rFonts w:hint="eastAsia" w:ascii="仿宋_GB2312" w:hAnsi="仿宋_GB2312" w:eastAsia="仿宋_GB2312" w:cs="仿宋_GB2312"/>
          <w:bCs/>
          <w:color w:val="auto"/>
          <w:sz w:val="32"/>
          <w:szCs w:val="32"/>
          <w:highlight w:val="none"/>
          <w:shd w:val="clear"/>
          <w:lang w:eastAsia="zh-CN"/>
        </w:rPr>
        <w:t>，</w:t>
      </w:r>
      <w:r>
        <w:rPr>
          <w:rFonts w:hint="eastAsia" w:ascii="仿宋_GB2312" w:hAnsi="仿宋_GB2312" w:eastAsia="仿宋_GB2312" w:cs="仿宋_GB2312"/>
          <w:bCs/>
          <w:color w:val="auto"/>
          <w:sz w:val="32"/>
          <w:szCs w:val="32"/>
          <w:highlight w:val="none"/>
          <w:shd w:val="clear"/>
        </w:rPr>
        <w:t>但我们也清醒地认识到，</w:t>
      </w:r>
      <w:r>
        <w:rPr>
          <w:rFonts w:hint="eastAsia" w:ascii="仿宋_GB2312" w:hAnsi="仿宋_GB2312" w:eastAsia="仿宋_GB2312" w:cs="仿宋_GB2312"/>
          <w:bCs/>
          <w:color w:val="auto"/>
          <w:sz w:val="32"/>
          <w:szCs w:val="32"/>
          <w:highlight w:val="none"/>
          <w:shd w:val="clear"/>
          <w:lang w:eastAsia="zh-CN"/>
        </w:rPr>
        <w:t>制约经济</w:t>
      </w:r>
      <w:r>
        <w:rPr>
          <w:rFonts w:hint="eastAsia" w:ascii="仿宋_GB2312" w:hAnsi="仿宋_GB2312" w:eastAsia="仿宋_GB2312" w:cs="仿宋_GB2312"/>
          <w:bCs/>
          <w:color w:val="auto"/>
          <w:sz w:val="32"/>
          <w:szCs w:val="32"/>
          <w:highlight w:val="none"/>
          <w:shd w:val="clear"/>
          <w:lang w:val="en-US" w:eastAsia="zh-CN"/>
        </w:rPr>
        <w:t>社会</w:t>
      </w:r>
      <w:r>
        <w:rPr>
          <w:rFonts w:hint="eastAsia" w:ascii="仿宋_GB2312" w:hAnsi="仿宋_GB2312" w:eastAsia="仿宋_GB2312" w:cs="仿宋_GB2312"/>
          <w:bCs/>
          <w:color w:val="auto"/>
          <w:sz w:val="32"/>
          <w:szCs w:val="32"/>
          <w:highlight w:val="none"/>
          <w:shd w:val="clear"/>
          <w:lang w:eastAsia="zh-CN"/>
        </w:rPr>
        <w:t>发展的瓶颈还未有得到根本性的解决</w:t>
      </w:r>
      <w:r>
        <w:rPr>
          <w:rFonts w:hint="eastAsia" w:ascii="仿宋_GB2312" w:hAnsi="仿宋_GB2312" w:eastAsia="仿宋_GB2312" w:cs="仿宋_GB2312"/>
          <w:bCs/>
          <w:color w:val="auto"/>
          <w:sz w:val="32"/>
          <w:szCs w:val="32"/>
          <w:highlight w:val="none"/>
          <w:shd w:val="clear"/>
        </w:rPr>
        <w:t>。主要表现在：</w:t>
      </w:r>
      <w:r>
        <w:rPr>
          <w:rFonts w:hint="eastAsia" w:ascii="仿宋_GB2312" w:hAnsi="仿宋_GB2312" w:eastAsia="仿宋_GB2312" w:cs="仿宋_GB2312"/>
          <w:b/>
          <w:bCs/>
          <w:color w:val="auto"/>
          <w:spacing w:val="-6"/>
          <w:sz w:val="32"/>
          <w:szCs w:val="32"/>
          <w:shd w:val="clear"/>
          <w:lang w:val="en-US" w:eastAsia="zh-CN"/>
        </w:rPr>
        <w:t>一是</w:t>
      </w:r>
      <w:r>
        <w:rPr>
          <w:rFonts w:hint="eastAsia" w:ascii="仿宋_GB2312" w:hAnsi="仿宋_GB2312" w:eastAsia="仿宋_GB2312" w:cs="仿宋_GB2312"/>
          <w:bCs w:val="0"/>
          <w:color w:val="auto"/>
          <w:spacing w:val="-6"/>
          <w:sz w:val="32"/>
          <w:szCs w:val="32"/>
          <w:shd w:val="clear"/>
          <w:lang w:val="en-US" w:eastAsia="zh-CN"/>
        </w:rPr>
        <w:t>产业发展短板突出，</w:t>
      </w:r>
      <w:r>
        <w:rPr>
          <w:rFonts w:hint="eastAsia" w:ascii="仿宋_GB2312" w:hAnsi="仿宋_GB2312" w:eastAsia="仿宋_GB2312" w:cs="仿宋_GB2312"/>
          <w:b w:val="0"/>
          <w:bCs w:val="0"/>
          <w:color w:val="auto"/>
          <w:spacing w:val="-6"/>
          <w:sz w:val="32"/>
          <w:szCs w:val="32"/>
        </w:rPr>
        <w:t>农业基础薄弱</w:t>
      </w:r>
      <w:r>
        <w:rPr>
          <w:rFonts w:hint="eastAsia" w:ascii="仿宋_GB2312" w:hAnsi="仿宋_GB2312" w:eastAsia="仿宋_GB2312" w:cs="仿宋_GB2312"/>
          <w:b w:val="0"/>
          <w:bCs w:val="0"/>
          <w:color w:val="auto"/>
          <w:spacing w:val="-6"/>
          <w:sz w:val="32"/>
          <w:szCs w:val="32"/>
          <w:lang w:eastAsia="zh-CN"/>
        </w:rPr>
        <w:t>，</w:t>
      </w:r>
      <w:r>
        <w:rPr>
          <w:rFonts w:hint="eastAsia" w:ascii="仿宋_GB2312" w:hAnsi="仿宋_GB2312" w:eastAsia="仿宋_GB2312" w:cs="仿宋_GB2312"/>
          <w:b w:val="0"/>
          <w:bCs w:val="0"/>
          <w:color w:val="auto"/>
          <w:spacing w:val="-6"/>
          <w:sz w:val="32"/>
          <w:szCs w:val="32"/>
        </w:rPr>
        <w:t>科技应用水平低</w:t>
      </w:r>
      <w:r>
        <w:rPr>
          <w:rFonts w:hint="eastAsia" w:ascii="仿宋_GB2312" w:hAnsi="仿宋_GB2312" w:eastAsia="仿宋_GB2312" w:cs="仿宋_GB2312"/>
          <w:b w:val="0"/>
          <w:bCs w:val="0"/>
          <w:color w:val="auto"/>
          <w:spacing w:val="-6"/>
          <w:sz w:val="32"/>
          <w:szCs w:val="32"/>
          <w:lang w:eastAsia="zh-CN"/>
        </w:rPr>
        <w:t>，</w:t>
      </w:r>
      <w:r>
        <w:rPr>
          <w:rFonts w:hint="eastAsia" w:ascii="仿宋_GB2312" w:hAnsi="仿宋_GB2312" w:eastAsia="仿宋_GB2312" w:cs="仿宋_GB2312"/>
          <w:b w:val="0"/>
          <w:bCs w:val="0"/>
          <w:color w:val="auto"/>
          <w:spacing w:val="-6"/>
          <w:sz w:val="32"/>
          <w:szCs w:val="32"/>
          <w:lang w:val="en-US" w:eastAsia="zh-CN"/>
        </w:rPr>
        <w:t>缺乏市场竞争力。</w:t>
      </w:r>
      <w:r>
        <w:rPr>
          <w:rFonts w:hint="eastAsia" w:ascii="仿宋_GB2312" w:hAnsi="仿宋_GB2312" w:eastAsia="仿宋_GB2312" w:cs="仿宋_GB2312"/>
          <w:b/>
          <w:bCs/>
          <w:color w:val="auto"/>
          <w:spacing w:val="-6"/>
          <w:sz w:val="32"/>
          <w:szCs w:val="32"/>
          <w:lang w:val="en-US" w:eastAsia="zh-CN"/>
        </w:rPr>
        <w:t>二是</w:t>
      </w:r>
      <w:r>
        <w:rPr>
          <w:rFonts w:hint="eastAsia" w:ascii="仿宋_GB2312" w:hAnsi="仿宋_GB2312" w:eastAsia="仿宋_GB2312" w:cs="仿宋_GB2312"/>
          <w:color w:val="auto"/>
          <w:spacing w:val="-6"/>
          <w:sz w:val="32"/>
          <w:szCs w:val="32"/>
        </w:rPr>
        <w:t>工业增长后劲不足，</w:t>
      </w:r>
      <w:r>
        <w:rPr>
          <w:rFonts w:hint="eastAsia" w:ascii="仿宋_GB2312" w:hAnsi="仿宋_GB2312" w:eastAsia="仿宋_GB2312" w:cs="仿宋_GB2312"/>
          <w:color w:val="auto"/>
          <w:spacing w:val="-6"/>
          <w:sz w:val="32"/>
          <w:szCs w:val="32"/>
          <w:lang w:val="en-US" w:eastAsia="zh-CN"/>
        </w:rPr>
        <w:t>抗市场风险能力不强</w:t>
      </w:r>
      <w:r>
        <w:rPr>
          <w:rFonts w:hint="eastAsia" w:ascii="仿宋_GB2312" w:hAnsi="仿宋_GB2312" w:eastAsia="仿宋_GB2312" w:cs="仿宋_GB2312"/>
          <w:color w:val="auto"/>
          <w:spacing w:val="-6"/>
          <w:sz w:val="32"/>
          <w:szCs w:val="32"/>
        </w:rPr>
        <w:t>，</w:t>
      </w:r>
      <w:r>
        <w:rPr>
          <w:rFonts w:hint="eastAsia" w:ascii="仿宋_GB2312" w:hAnsi="仿宋_GB2312" w:eastAsia="仿宋_GB2312" w:cs="仿宋_GB2312"/>
          <w:b w:val="0"/>
          <w:bCs w:val="0"/>
          <w:color w:val="auto"/>
          <w:spacing w:val="-6"/>
          <w:sz w:val="32"/>
          <w:szCs w:val="32"/>
          <w:lang w:val="en-US" w:eastAsia="zh-CN"/>
        </w:rPr>
        <w:t>对GDP增长贡献低</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b/>
          <w:bCs/>
          <w:color w:val="auto"/>
          <w:spacing w:val="-6"/>
          <w:sz w:val="32"/>
          <w:szCs w:val="32"/>
          <w:lang w:val="en-US" w:eastAsia="zh-CN"/>
        </w:rPr>
        <w:t>三</w:t>
      </w:r>
      <w:r>
        <w:rPr>
          <w:rFonts w:hint="eastAsia" w:ascii="仿宋_GB2312" w:hAnsi="仿宋_GB2312" w:eastAsia="仿宋_GB2312" w:cs="仿宋_GB2312"/>
          <w:b/>
          <w:bCs/>
          <w:color w:val="auto"/>
          <w:spacing w:val="-6"/>
          <w:sz w:val="32"/>
          <w:szCs w:val="32"/>
        </w:rPr>
        <w:t>是</w:t>
      </w:r>
      <w:r>
        <w:rPr>
          <w:rFonts w:hint="eastAsia" w:ascii="仿宋_GB2312" w:hAnsi="仿宋_GB2312" w:eastAsia="仿宋_GB2312" w:cs="仿宋_GB2312"/>
          <w:color w:val="auto"/>
          <w:sz w:val="32"/>
          <w:szCs w:val="32"/>
        </w:rPr>
        <w:t>财政收支压力大，减税降费政策压力</w:t>
      </w:r>
      <w:r>
        <w:rPr>
          <w:rFonts w:hint="eastAsia" w:ascii="仿宋_GB2312" w:hAnsi="仿宋_GB2312" w:eastAsia="仿宋_GB2312" w:cs="仿宋_GB2312"/>
          <w:color w:val="auto"/>
          <w:sz w:val="32"/>
          <w:szCs w:val="32"/>
          <w:lang w:eastAsia="zh-CN"/>
        </w:rPr>
        <w:t>凸显</w:t>
      </w:r>
      <w:r>
        <w:rPr>
          <w:rFonts w:hint="eastAsia" w:ascii="仿宋_GB2312" w:hAnsi="仿宋_GB2312" w:eastAsia="仿宋_GB2312" w:cs="仿宋_GB2312"/>
          <w:color w:val="auto"/>
          <w:sz w:val="32"/>
          <w:szCs w:val="32"/>
        </w:rPr>
        <w:t>，保工资、保运转、保民生、保稳定及重大项目支出等刚性支出需求较大，历史债务化解</w:t>
      </w:r>
      <w:r>
        <w:rPr>
          <w:rFonts w:hint="eastAsia" w:ascii="仿宋_GB2312" w:hAnsi="仿宋_GB2312" w:eastAsia="仿宋_GB2312" w:cs="仿宋_GB2312"/>
          <w:color w:val="auto"/>
          <w:sz w:val="32"/>
          <w:szCs w:val="32"/>
          <w:lang w:val="en-US" w:eastAsia="zh-CN"/>
        </w:rPr>
        <w:t>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bCs/>
          <w:color w:val="auto"/>
          <w:spacing w:val="-6"/>
          <w:sz w:val="32"/>
          <w:szCs w:val="32"/>
          <w:lang w:val="en-US" w:eastAsia="zh-CN"/>
        </w:rPr>
        <w:t>四</w:t>
      </w:r>
      <w:r>
        <w:rPr>
          <w:rFonts w:hint="eastAsia" w:ascii="仿宋_GB2312" w:hAnsi="仿宋_GB2312" w:eastAsia="仿宋_GB2312" w:cs="仿宋_GB2312"/>
          <w:b/>
          <w:bCs/>
          <w:color w:val="auto"/>
          <w:spacing w:val="-6"/>
          <w:sz w:val="32"/>
          <w:szCs w:val="32"/>
        </w:rPr>
        <w:t>是</w:t>
      </w:r>
      <w:r>
        <w:rPr>
          <w:rFonts w:hint="eastAsia" w:ascii="仿宋_GB2312" w:hAnsi="仿宋_GB2312" w:eastAsia="仿宋_GB2312" w:cs="仿宋_GB2312"/>
          <w:b w:val="0"/>
          <w:bCs w:val="0"/>
          <w:color w:val="auto"/>
          <w:sz w:val="32"/>
          <w:szCs w:val="32"/>
          <w:lang w:val="en-US" w:eastAsia="zh-CN"/>
        </w:rPr>
        <w:t>土地指标历史欠账较多，</w:t>
      </w:r>
      <w:r>
        <w:rPr>
          <w:rFonts w:hint="eastAsia" w:ascii="仿宋_GB2312" w:hAnsi="仿宋_GB2312" w:eastAsia="仿宋_GB2312" w:cs="仿宋_GB2312"/>
          <w:color w:val="auto"/>
          <w:sz w:val="32"/>
          <w:szCs w:val="32"/>
        </w:rPr>
        <w:t>重点建设项目、重大工程用地需求</w:t>
      </w:r>
      <w:r>
        <w:rPr>
          <w:rFonts w:hint="eastAsia" w:ascii="仿宋_GB2312" w:hAnsi="仿宋_GB2312" w:eastAsia="仿宋_GB2312" w:cs="仿宋_GB2312"/>
          <w:color w:val="auto"/>
          <w:sz w:val="32"/>
          <w:szCs w:val="32"/>
          <w:lang w:val="en-US" w:eastAsia="zh-CN"/>
        </w:rPr>
        <w:t>难以保障</w:t>
      </w:r>
      <w:r>
        <w:rPr>
          <w:rFonts w:hint="eastAsia" w:ascii="仿宋_GB2312" w:hAnsi="仿宋_GB2312" w:eastAsia="仿宋_GB2312" w:cs="仿宋_GB2312"/>
          <w:color w:val="auto"/>
          <w:sz w:val="32"/>
          <w:szCs w:val="32"/>
        </w:rPr>
        <w:t>，影响项目落地。</w:t>
      </w:r>
    </w:p>
    <w:p>
      <w:pPr>
        <w:keepNext w:val="0"/>
        <w:keepLines w:val="0"/>
        <w:pageBreakBefore w:val="0"/>
        <w:widowControl w:val="0"/>
        <w:pBdr>
          <w:bottom w:val="single" w:color="FFFFFF" w:sz="4" w:space="28"/>
        </w:pBdr>
        <w:kinsoku/>
        <w:wordWrap/>
        <w:overflowPunct/>
        <w:topLinePunct w:val="0"/>
        <w:autoSpaceDE w:val="0"/>
        <w:autoSpaceDN/>
        <w:bidi w:val="0"/>
        <w:adjustRightInd w:val="0"/>
        <w:snapToGrid w:val="0"/>
        <w:spacing w:beforeLines="0" w:afterLines="0" w:line="560" w:lineRule="exact"/>
        <w:ind w:firstLine="640" w:firstLineChars="200"/>
        <w:textAlignment w:val="baseline"/>
        <w:rPr>
          <w:rFonts w:hint="eastAsia" w:ascii="黑体" w:hAnsi="黑体" w:eastAsia="黑体" w:cs="黑体"/>
          <w:color w:val="auto"/>
          <w:sz w:val="32"/>
          <w:szCs w:val="32"/>
          <w:highlight w:val="none"/>
          <w:shd w:val="clear"/>
        </w:rPr>
      </w:pPr>
      <w:r>
        <w:rPr>
          <w:rFonts w:hint="eastAsia" w:ascii="黑体" w:hAnsi="黑体" w:eastAsia="黑体" w:cs="黑体"/>
          <w:color w:val="auto"/>
          <w:sz w:val="32"/>
          <w:szCs w:val="32"/>
          <w:highlight w:val="none"/>
          <w:shd w:val="clear"/>
        </w:rPr>
        <w:t>二、</w:t>
      </w:r>
      <w:r>
        <w:rPr>
          <w:rFonts w:hint="eastAsia" w:ascii="黑体" w:hAnsi="黑体" w:eastAsia="黑体" w:cs="黑体"/>
          <w:color w:val="auto"/>
          <w:sz w:val="32"/>
          <w:szCs w:val="32"/>
          <w:highlight w:val="none"/>
          <w:shd w:val="clear"/>
          <w:lang w:val="en-US" w:eastAsia="zh-CN"/>
        </w:rPr>
        <w:t>2022</w:t>
      </w:r>
      <w:r>
        <w:rPr>
          <w:rFonts w:hint="eastAsia" w:ascii="黑体" w:hAnsi="黑体" w:eastAsia="黑体" w:cs="黑体"/>
          <w:color w:val="auto"/>
          <w:sz w:val="32"/>
          <w:szCs w:val="32"/>
          <w:highlight w:val="none"/>
          <w:shd w:val="clear"/>
        </w:rPr>
        <w:t>年经济社会发展预期目标建议及主要任务</w:t>
      </w:r>
    </w:p>
    <w:p>
      <w:pPr>
        <w:keepNext w:val="0"/>
        <w:keepLines w:val="0"/>
        <w:pageBreakBefore w:val="0"/>
        <w:widowControl w:val="0"/>
        <w:numPr>
          <w:ilvl w:val="0"/>
          <w:numId w:val="0"/>
        </w:numPr>
        <w:pBdr>
          <w:bottom w:val="single" w:color="FFFFFF" w:sz="4" w:space="28"/>
        </w:pBdr>
        <w:shd w:val="clea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baseline"/>
        <w:outlineLvl w:val="9"/>
        <w:rPr>
          <w:rFonts w:hint="eastAsia" w:ascii="仿宋_GB2312" w:hAnsi="仿宋_GB2312" w:eastAsia="仿宋_GB2312" w:cs="仿宋_GB2312"/>
          <w:bCs/>
          <w:color w:val="auto"/>
          <w:sz w:val="32"/>
          <w:szCs w:val="32"/>
          <w:highlight w:val="none"/>
          <w:shd w:val="clear"/>
          <w:lang w:val="en-US" w:eastAsia="zh-CN"/>
        </w:rPr>
      </w:pPr>
      <w:r>
        <w:rPr>
          <w:rFonts w:hint="eastAsia" w:ascii="仿宋_GB2312" w:hAnsi="仿宋_GB2312" w:eastAsia="仿宋_GB2312" w:cs="仿宋_GB2312"/>
          <w:bCs/>
          <w:color w:val="auto"/>
          <w:sz w:val="32"/>
          <w:szCs w:val="32"/>
          <w:highlight w:val="none"/>
          <w:shd w:val="clear"/>
        </w:rPr>
        <w:t>202</w:t>
      </w:r>
      <w:r>
        <w:rPr>
          <w:rFonts w:hint="eastAsia" w:ascii="仿宋_GB2312" w:hAnsi="仿宋_GB2312" w:eastAsia="仿宋_GB2312" w:cs="仿宋_GB2312"/>
          <w:bCs/>
          <w:color w:val="auto"/>
          <w:sz w:val="32"/>
          <w:szCs w:val="32"/>
          <w:highlight w:val="none"/>
          <w:shd w:val="clear"/>
          <w:lang w:val="en-US" w:eastAsia="zh-CN"/>
        </w:rPr>
        <w:t>2</w:t>
      </w:r>
      <w:r>
        <w:rPr>
          <w:rFonts w:hint="eastAsia" w:ascii="仿宋_GB2312" w:hAnsi="仿宋_GB2312" w:eastAsia="仿宋_GB2312" w:cs="仿宋_GB2312"/>
          <w:bCs/>
          <w:color w:val="auto"/>
          <w:sz w:val="32"/>
          <w:szCs w:val="32"/>
          <w:highlight w:val="none"/>
          <w:shd w:val="clear"/>
        </w:rPr>
        <w:t>年是“十四五”规划的</w:t>
      </w:r>
      <w:r>
        <w:rPr>
          <w:rFonts w:hint="eastAsia" w:ascii="仿宋_GB2312" w:hAnsi="仿宋_GB2312" w:eastAsia="仿宋_GB2312" w:cs="仿宋_GB2312"/>
          <w:bCs/>
          <w:color w:val="auto"/>
          <w:sz w:val="32"/>
          <w:szCs w:val="32"/>
          <w:highlight w:val="none"/>
          <w:shd w:val="clear"/>
          <w:lang w:eastAsia="zh-CN"/>
        </w:rPr>
        <w:t>全面实施</w:t>
      </w:r>
      <w:r>
        <w:rPr>
          <w:rFonts w:hint="eastAsia" w:ascii="仿宋_GB2312" w:hAnsi="仿宋_GB2312" w:eastAsia="仿宋_GB2312" w:cs="仿宋_GB2312"/>
          <w:bCs/>
          <w:color w:val="auto"/>
          <w:sz w:val="32"/>
          <w:szCs w:val="32"/>
          <w:highlight w:val="none"/>
          <w:shd w:val="clear"/>
        </w:rPr>
        <w:t>之年，</w:t>
      </w:r>
      <w:r>
        <w:rPr>
          <w:rFonts w:hint="eastAsia" w:ascii="仿宋_GB2312" w:hAnsi="仿宋_GB2312" w:eastAsia="仿宋_GB2312" w:cs="仿宋_GB2312"/>
          <w:bCs/>
          <w:color w:val="auto"/>
          <w:sz w:val="32"/>
          <w:szCs w:val="32"/>
          <w:highlight w:val="none"/>
          <w:shd w:val="clear"/>
          <w:lang w:eastAsia="zh-CN"/>
        </w:rPr>
        <w:t>是未来发展五年的基础之年，</w:t>
      </w:r>
      <w:r>
        <w:rPr>
          <w:rFonts w:hint="eastAsia" w:ascii="仿宋_GB2312" w:hAnsi="仿宋_GB2312" w:eastAsia="仿宋_GB2312" w:cs="仿宋_GB2312"/>
          <w:bCs/>
          <w:color w:val="auto"/>
          <w:sz w:val="32"/>
          <w:szCs w:val="32"/>
          <w:highlight w:val="none"/>
          <w:shd w:val="clear"/>
        </w:rPr>
        <w:t>做好今年经济工作的总体要求是：</w:t>
      </w:r>
      <w:r>
        <w:rPr>
          <w:rFonts w:hint="eastAsia" w:ascii="仿宋_GB2312" w:hAnsi="仿宋_GB2312" w:eastAsia="仿宋_GB2312" w:cs="仿宋_GB2312"/>
          <w:bCs/>
          <w:i w:val="0"/>
          <w:caps w:val="0"/>
          <w:color w:val="auto"/>
          <w:spacing w:val="0"/>
          <w:sz w:val="32"/>
          <w:szCs w:val="32"/>
          <w:highlight w:val="none"/>
          <w:shd w:val="clear" w:fill="auto"/>
        </w:rPr>
        <w:t>以习近平新时代中国特色社会主义思想为指导，全面贯彻落实党的十九大和十九届历次全会精神，</w:t>
      </w:r>
      <w:r>
        <w:rPr>
          <w:rFonts w:hint="eastAsia" w:ascii="仿宋_GB2312" w:hAnsi="仿宋_GB2312" w:eastAsia="仿宋_GB2312" w:cs="仿宋_GB2312"/>
          <w:bCs/>
          <w:color w:val="auto"/>
          <w:sz w:val="32"/>
          <w:szCs w:val="32"/>
          <w:highlight w:val="none"/>
          <w:shd w:val="clear"/>
          <w:lang w:val="en-US" w:eastAsia="zh-CN"/>
        </w:rPr>
        <w:t>深入贯彻习近平总书记考察云南重要讲话和重要指示批示精神，全面落实省第十一次党代会、市第五次党代会、区第五次党代会的部署，</w:t>
      </w:r>
      <w:r>
        <w:rPr>
          <w:rFonts w:hint="eastAsia" w:ascii="仿宋_GB2312" w:hAnsi="仿宋_GB2312" w:eastAsia="仿宋_GB2312" w:cs="仿宋_GB2312"/>
          <w:bCs/>
          <w:i w:val="0"/>
          <w:caps w:val="0"/>
          <w:color w:val="auto"/>
          <w:spacing w:val="0"/>
          <w:sz w:val="32"/>
          <w:szCs w:val="32"/>
          <w:highlight w:val="none"/>
          <w:shd w:val="clear" w:fill="auto"/>
        </w:rPr>
        <w:t>坚持稳中求进工作总基调，完整、准确、全面贯彻新发展理念，加快构建新发展格局，全面深化改革开放，坚持创新驱动发展，推动高质量发展，坚持以供给侧结构性改革为主线，统筹疫情防控和经济社会发展，继续做好“六稳”、“六保”工作，持续改善民生，着力稳定宏观经济大盘，保持经济运行在合理区间，保持社会大局稳定，</w:t>
      </w:r>
      <w:r>
        <w:rPr>
          <w:rFonts w:hint="eastAsia" w:ascii="仿宋_GB2312" w:hAnsi="仿宋_GB2312" w:eastAsia="仿宋_GB2312" w:cs="仿宋_GB2312"/>
          <w:bCs/>
          <w:color w:val="auto"/>
          <w:sz w:val="32"/>
          <w:szCs w:val="32"/>
          <w:highlight w:val="none"/>
          <w:shd w:val="clear"/>
          <w:lang w:val="en-US" w:eastAsia="zh-CN"/>
        </w:rPr>
        <w:t>致力于在</w:t>
      </w:r>
      <w:r>
        <w:rPr>
          <w:rFonts w:hint="eastAsia" w:ascii="仿宋_GB2312" w:hAnsi="仿宋_GB2312" w:eastAsia="仿宋_GB2312" w:cs="仿宋_GB2312"/>
          <w:bCs/>
          <w:color w:val="auto"/>
          <w:sz w:val="32"/>
          <w:szCs w:val="32"/>
          <w:highlight w:val="none"/>
          <w:shd w:val="clear"/>
        </w:rPr>
        <w:t>“三个示范区”建设上走在前列</w:t>
      </w:r>
      <w:r>
        <w:rPr>
          <w:rFonts w:hint="eastAsia" w:ascii="仿宋_GB2312" w:hAnsi="仿宋_GB2312" w:eastAsia="仿宋_GB2312" w:cs="仿宋_GB2312"/>
          <w:bCs/>
          <w:color w:val="auto"/>
          <w:sz w:val="32"/>
          <w:szCs w:val="32"/>
          <w:highlight w:val="none"/>
          <w:shd w:val="clear"/>
          <w:lang w:eastAsia="zh-CN"/>
        </w:rPr>
        <w:t>、作出示范</w:t>
      </w:r>
      <w:r>
        <w:rPr>
          <w:rFonts w:hint="eastAsia" w:ascii="仿宋_GB2312" w:hAnsi="仿宋_GB2312" w:eastAsia="仿宋_GB2312" w:cs="仿宋_GB2312"/>
          <w:i w:val="0"/>
          <w:caps w:val="0"/>
          <w:color w:val="auto"/>
          <w:spacing w:val="0"/>
          <w:sz w:val="28"/>
          <w:szCs w:val="28"/>
          <w:shd w:val="clear" w:fill="FFFFFF"/>
        </w:rPr>
        <w:t>。</w:t>
      </w:r>
    </w:p>
    <w:p>
      <w:pPr>
        <w:keepNext w:val="0"/>
        <w:keepLines w:val="0"/>
        <w:pageBreakBefore w:val="0"/>
        <w:widowControl w:val="0"/>
        <w:numPr>
          <w:ilvl w:val="0"/>
          <w:numId w:val="0"/>
        </w:numPr>
        <w:pBdr>
          <w:bottom w:val="single" w:color="FFFFFF" w:sz="4" w:space="28"/>
        </w:pBdr>
        <w:shd w:val="clear"/>
        <w:kinsoku/>
        <w:wordWrap/>
        <w:overflowPunct/>
        <w:topLinePunct w:val="0"/>
        <w:autoSpaceDE/>
        <w:autoSpaceDN/>
        <w:bidi w:val="0"/>
        <w:adjustRightInd/>
        <w:snapToGrid/>
        <w:spacing w:line="560" w:lineRule="exact"/>
        <w:ind w:left="0" w:leftChars="0" w:right="0" w:rightChars="0" w:firstLine="616" w:firstLineChars="200"/>
        <w:jc w:val="both"/>
        <w:textAlignment w:val="baseline"/>
        <w:outlineLvl w:val="9"/>
        <w:rPr>
          <w:rFonts w:hint="eastAsia" w:ascii="仿宋_GB2312" w:hAnsi="仿宋_GB2312" w:eastAsia="仿宋_GB2312" w:cs="仿宋_GB2312"/>
          <w:color w:val="auto"/>
          <w:spacing w:val="-6"/>
          <w:sz w:val="32"/>
          <w:szCs w:val="32"/>
          <w:highlight w:val="none"/>
          <w:shd w:val="clear"/>
          <w:lang w:val="en-US" w:eastAsia="zh-CN"/>
        </w:rPr>
      </w:pPr>
      <w:r>
        <w:rPr>
          <w:rFonts w:hint="eastAsia" w:ascii="仿宋_GB2312" w:hAnsi="仿宋_GB2312" w:eastAsia="仿宋_GB2312" w:cs="仿宋_GB2312"/>
          <w:color w:val="auto"/>
          <w:spacing w:val="-6"/>
          <w:sz w:val="32"/>
          <w:szCs w:val="32"/>
          <w:highlight w:val="none"/>
          <w:shd w:val="clear"/>
          <w:lang w:val="en-US" w:eastAsia="zh-CN"/>
        </w:rPr>
        <w:t>今年主要经济指标目标建议充分考虑面临的机遇和挑战：</w:t>
      </w:r>
      <w:r>
        <w:rPr>
          <w:rFonts w:hint="eastAsia" w:ascii="仿宋_GB2312" w:hAnsi="仿宋_GB2312" w:eastAsia="仿宋_GB2312" w:cs="仿宋_GB2312"/>
          <w:b/>
          <w:bCs/>
          <w:color w:val="auto"/>
          <w:spacing w:val="-6"/>
          <w:sz w:val="32"/>
          <w:szCs w:val="32"/>
          <w:highlight w:val="none"/>
          <w:shd w:val="clear"/>
          <w:lang w:val="en-US" w:eastAsia="zh-CN"/>
        </w:rPr>
        <w:t>一是</w:t>
      </w:r>
      <w:r>
        <w:rPr>
          <w:rFonts w:hint="eastAsia" w:ascii="仿宋_GB2312" w:hAnsi="仿宋_GB2312" w:eastAsia="仿宋_GB2312" w:cs="仿宋_GB2312"/>
          <w:color w:val="auto"/>
          <w:spacing w:val="-6"/>
          <w:sz w:val="32"/>
          <w:szCs w:val="32"/>
          <w:highlight w:val="none"/>
          <w:shd w:val="clear"/>
          <w:lang w:val="en-US" w:eastAsia="zh-CN"/>
        </w:rPr>
        <w:t>分析全区空间和资源优势具有释放的潜力，加之海公铁联运和“双碳”政策给予临翔带来发展机遇。</w:t>
      </w:r>
      <w:r>
        <w:rPr>
          <w:rFonts w:hint="eastAsia" w:ascii="仿宋_GB2312" w:hAnsi="仿宋_GB2312" w:eastAsia="仿宋_GB2312" w:cs="仿宋_GB2312"/>
          <w:b/>
          <w:bCs/>
          <w:color w:val="auto"/>
          <w:spacing w:val="-6"/>
          <w:sz w:val="32"/>
          <w:szCs w:val="32"/>
          <w:highlight w:val="none"/>
          <w:shd w:val="clear"/>
          <w:lang w:val="en-US" w:eastAsia="zh-CN"/>
        </w:rPr>
        <w:t>二是</w:t>
      </w:r>
      <w:r>
        <w:rPr>
          <w:rFonts w:hint="eastAsia" w:ascii="仿宋_GB2312" w:hAnsi="仿宋_GB2312" w:eastAsia="仿宋_GB2312" w:cs="仿宋_GB2312"/>
          <w:b w:val="0"/>
          <w:bCs w:val="0"/>
          <w:color w:val="auto"/>
          <w:spacing w:val="-6"/>
          <w:sz w:val="32"/>
          <w:szCs w:val="32"/>
          <w:highlight w:val="none"/>
          <w:shd w:val="clear"/>
          <w:lang w:val="en-US" w:eastAsia="zh-CN"/>
        </w:rPr>
        <w:t>面对</w:t>
      </w:r>
      <w:r>
        <w:rPr>
          <w:rFonts w:hint="eastAsia" w:ascii="仿宋_GB2312" w:hAnsi="仿宋_GB2312" w:eastAsia="仿宋_GB2312" w:cs="仿宋_GB2312"/>
          <w:b w:val="0"/>
          <w:bCs w:val="0"/>
          <w:i w:val="0"/>
          <w:caps w:val="0"/>
          <w:color w:val="auto"/>
          <w:spacing w:val="-6"/>
          <w:sz w:val="32"/>
          <w:szCs w:val="32"/>
          <w:highlight w:val="none"/>
          <w:shd w:val="clear"/>
        </w:rPr>
        <w:t>需求收缩、供给冲击、预期转弱</w:t>
      </w:r>
      <w:r>
        <w:rPr>
          <w:rFonts w:hint="eastAsia" w:ascii="仿宋_GB2312" w:hAnsi="仿宋_GB2312" w:eastAsia="仿宋_GB2312" w:cs="仿宋_GB2312"/>
          <w:b w:val="0"/>
          <w:bCs w:val="0"/>
          <w:i w:val="0"/>
          <w:caps w:val="0"/>
          <w:color w:val="auto"/>
          <w:spacing w:val="-6"/>
          <w:sz w:val="32"/>
          <w:szCs w:val="32"/>
          <w:highlight w:val="none"/>
          <w:shd w:val="clear"/>
          <w:lang w:val="en-US" w:eastAsia="zh-CN"/>
        </w:rPr>
        <w:t>给经济发展带来前所未有的经济下行压力。</w:t>
      </w:r>
      <w:r>
        <w:rPr>
          <w:rFonts w:hint="eastAsia" w:ascii="仿宋_GB2312" w:hAnsi="仿宋_GB2312" w:eastAsia="仿宋_GB2312" w:cs="仿宋_GB2312"/>
          <w:b/>
          <w:bCs/>
          <w:i w:val="0"/>
          <w:caps w:val="0"/>
          <w:color w:val="auto"/>
          <w:spacing w:val="-6"/>
          <w:sz w:val="32"/>
          <w:szCs w:val="32"/>
          <w:highlight w:val="none"/>
          <w:shd w:val="clear"/>
          <w:lang w:val="en-US" w:eastAsia="zh-CN"/>
        </w:rPr>
        <w:t>三是</w:t>
      </w:r>
      <w:r>
        <w:rPr>
          <w:rFonts w:hint="eastAsia" w:ascii="仿宋_GB2312" w:hAnsi="仿宋_GB2312" w:eastAsia="仿宋_GB2312" w:cs="仿宋_GB2312"/>
          <w:b w:val="0"/>
          <w:bCs w:val="0"/>
          <w:i w:val="0"/>
          <w:caps w:val="0"/>
          <w:color w:val="auto"/>
          <w:spacing w:val="-6"/>
          <w:sz w:val="32"/>
          <w:szCs w:val="32"/>
          <w:highlight w:val="none"/>
          <w:shd w:val="clear"/>
          <w:lang w:val="en-US" w:eastAsia="zh-CN"/>
        </w:rPr>
        <w:t>新冠肺炎疫情依然是最大的不确定性因素。</w:t>
      </w:r>
    </w:p>
    <w:p>
      <w:pPr>
        <w:keepNext w:val="0"/>
        <w:keepLines w:val="0"/>
        <w:pageBreakBefore w:val="0"/>
        <w:widowControl w:val="0"/>
        <w:numPr>
          <w:ilvl w:val="0"/>
          <w:numId w:val="0"/>
        </w:numPr>
        <w:pBdr>
          <w:bottom w:val="single" w:color="FFFFFF" w:sz="4" w:space="28"/>
        </w:pBdr>
        <w:shd w:val="clear"/>
        <w:kinsoku/>
        <w:wordWrap/>
        <w:overflowPunct/>
        <w:topLinePunct w:val="0"/>
        <w:autoSpaceDE/>
        <w:autoSpaceDN/>
        <w:bidi w:val="0"/>
        <w:adjustRightInd/>
        <w:snapToGrid/>
        <w:spacing w:line="560" w:lineRule="exact"/>
        <w:ind w:left="0" w:leftChars="0" w:right="0" w:rightChars="0" w:firstLine="616" w:firstLineChars="200"/>
        <w:jc w:val="both"/>
        <w:textAlignment w:val="baseline"/>
        <w:outlineLvl w:val="9"/>
        <w:rPr>
          <w:rFonts w:hint="eastAsia" w:ascii="仿宋_GB2312" w:hAnsi="仿宋_GB2312" w:eastAsia="仿宋_GB2312" w:cs="仿宋_GB2312"/>
          <w:color w:val="auto"/>
          <w:sz w:val="32"/>
          <w:szCs w:val="32"/>
          <w:highlight w:val="none"/>
          <w:shd w:val="clear"/>
          <w:lang w:val="en-US" w:eastAsia="zh-CN"/>
        </w:rPr>
      </w:pPr>
      <w:r>
        <w:rPr>
          <w:rFonts w:hint="eastAsia" w:ascii="仿宋_GB2312" w:hAnsi="仿宋_GB2312" w:eastAsia="仿宋_GB2312" w:cs="仿宋_GB2312"/>
          <w:color w:val="auto"/>
          <w:spacing w:val="-6"/>
          <w:sz w:val="32"/>
          <w:szCs w:val="32"/>
          <w:highlight w:val="none"/>
          <w:shd w:val="clear"/>
          <w:lang w:val="en-US" w:eastAsia="zh-CN"/>
        </w:rPr>
        <w:t>综述以上研判提出2022</w:t>
      </w:r>
      <w:r>
        <w:rPr>
          <w:rFonts w:hint="eastAsia" w:ascii="仿宋_GB2312" w:hAnsi="仿宋_GB2312" w:eastAsia="仿宋_GB2312" w:cs="仿宋_GB2312"/>
          <w:color w:val="auto"/>
          <w:spacing w:val="-6"/>
          <w:sz w:val="32"/>
          <w:szCs w:val="32"/>
          <w:highlight w:val="none"/>
          <w:shd w:val="clear"/>
        </w:rPr>
        <w:t>年主要经济指标预期目标建议为：</w:t>
      </w:r>
      <w:r>
        <w:rPr>
          <w:rFonts w:hint="eastAsia" w:ascii="仿宋_GB2312" w:hAnsi="仿宋_GB2312" w:eastAsia="仿宋_GB2312" w:cs="仿宋_GB2312"/>
          <w:b/>
          <w:bCs/>
          <w:color w:val="auto"/>
          <w:spacing w:val="-6"/>
          <w:sz w:val="32"/>
          <w:szCs w:val="32"/>
          <w:highlight w:val="none"/>
          <w:shd w:val="clear"/>
          <w:lang w:val="en-US" w:eastAsia="zh-CN"/>
        </w:rPr>
        <w:t>地区生产总值</w:t>
      </w:r>
      <w:r>
        <w:rPr>
          <w:rFonts w:hint="eastAsia" w:ascii="仿宋_GB2312" w:hAnsi="仿宋_GB2312" w:eastAsia="仿宋_GB2312" w:cs="仿宋_GB2312"/>
          <w:color w:val="auto"/>
          <w:spacing w:val="-6"/>
          <w:sz w:val="32"/>
          <w:szCs w:val="32"/>
          <w:highlight w:val="none"/>
          <w:shd w:val="clear"/>
          <w:lang w:val="en-US" w:eastAsia="zh-CN"/>
        </w:rPr>
        <w:t>增长8%以上；</w:t>
      </w:r>
      <w:r>
        <w:rPr>
          <w:rFonts w:hint="eastAsia" w:ascii="仿宋_GB2312" w:hAnsi="仿宋_GB2312" w:eastAsia="仿宋_GB2312" w:cs="仿宋_GB2312"/>
          <w:b/>
          <w:bCs/>
          <w:color w:val="auto"/>
          <w:spacing w:val="-6"/>
          <w:sz w:val="32"/>
          <w:szCs w:val="32"/>
          <w:highlight w:val="none"/>
          <w:shd w:val="clear"/>
          <w:lang w:val="en-US" w:eastAsia="zh-CN"/>
        </w:rPr>
        <w:t>固定资产投资</w:t>
      </w:r>
      <w:r>
        <w:rPr>
          <w:rFonts w:hint="eastAsia" w:ascii="仿宋_GB2312" w:hAnsi="仿宋_GB2312" w:eastAsia="仿宋_GB2312" w:cs="仿宋_GB2312"/>
          <w:color w:val="auto"/>
          <w:spacing w:val="-6"/>
          <w:sz w:val="32"/>
          <w:szCs w:val="32"/>
          <w:highlight w:val="none"/>
          <w:shd w:val="clear"/>
          <w:lang w:val="en-US" w:eastAsia="zh-CN"/>
        </w:rPr>
        <w:t>增长10%以上；</w:t>
      </w:r>
      <w:r>
        <w:rPr>
          <w:rFonts w:hint="eastAsia" w:ascii="仿宋_GB2312" w:hAnsi="仿宋_GB2312" w:eastAsia="仿宋_GB2312" w:cs="仿宋_GB2312"/>
          <w:b/>
          <w:bCs/>
          <w:color w:val="auto"/>
          <w:sz w:val="32"/>
          <w:szCs w:val="32"/>
          <w:highlight w:val="none"/>
          <w:shd w:val="clear"/>
          <w:lang w:val="en-US" w:eastAsia="zh-CN"/>
        </w:rPr>
        <w:t>规模以上工业增加值</w:t>
      </w:r>
      <w:r>
        <w:rPr>
          <w:rFonts w:hint="eastAsia" w:ascii="仿宋_GB2312" w:hAnsi="仿宋_GB2312" w:eastAsia="仿宋_GB2312" w:cs="仿宋_GB2312"/>
          <w:color w:val="auto"/>
          <w:sz w:val="32"/>
          <w:szCs w:val="32"/>
          <w:highlight w:val="none"/>
          <w:shd w:val="clear"/>
          <w:lang w:val="en-US" w:eastAsia="zh-CN"/>
        </w:rPr>
        <w:t>增长14%以上；</w:t>
      </w:r>
      <w:r>
        <w:rPr>
          <w:rFonts w:hint="eastAsia" w:ascii="仿宋_GB2312" w:hAnsi="仿宋_GB2312" w:eastAsia="仿宋_GB2312" w:cs="仿宋_GB2312"/>
          <w:b/>
          <w:bCs/>
          <w:color w:val="auto"/>
          <w:sz w:val="32"/>
          <w:szCs w:val="32"/>
          <w:highlight w:val="none"/>
          <w:shd w:val="clear"/>
          <w:lang w:val="en-US" w:eastAsia="zh-CN"/>
        </w:rPr>
        <w:t>地方一般公共预算收入</w:t>
      </w:r>
      <w:r>
        <w:rPr>
          <w:rFonts w:hint="eastAsia" w:ascii="仿宋_GB2312" w:hAnsi="仿宋_GB2312" w:eastAsia="仿宋_GB2312" w:cs="仿宋_GB2312"/>
          <w:color w:val="auto"/>
          <w:sz w:val="32"/>
          <w:szCs w:val="32"/>
          <w:highlight w:val="none"/>
          <w:shd w:val="clear"/>
          <w:lang w:val="en-US" w:eastAsia="zh-CN"/>
        </w:rPr>
        <w:t>增长3%以上；</w:t>
      </w:r>
      <w:r>
        <w:rPr>
          <w:rFonts w:hint="eastAsia" w:ascii="仿宋_GB2312" w:hAnsi="仿宋_GB2312" w:eastAsia="仿宋_GB2312" w:cs="仿宋_GB2312"/>
          <w:b/>
          <w:bCs/>
          <w:color w:val="auto"/>
          <w:sz w:val="32"/>
          <w:szCs w:val="32"/>
          <w:highlight w:val="none"/>
          <w:shd w:val="clear"/>
          <w:lang w:val="en-US" w:eastAsia="zh-CN"/>
        </w:rPr>
        <w:t>地方一般公共预算支出</w:t>
      </w:r>
      <w:r>
        <w:rPr>
          <w:rFonts w:hint="eastAsia" w:ascii="仿宋_GB2312" w:hAnsi="仿宋_GB2312" w:eastAsia="仿宋_GB2312" w:cs="仿宋_GB2312"/>
          <w:color w:val="auto"/>
          <w:sz w:val="32"/>
          <w:szCs w:val="32"/>
          <w:highlight w:val="none"/>
          <w:shd w:val="clear"/>
          <w:lang w:val="en-US" w:eastAsia="zh-CN"/>
        </w:rPr>
        <w:t>增长11%以上；</w:t>
      </w:r>
      <w:r>
        <w:rPr>
          <w:rFonts w:hint="eastAsia" w:ascii="仿宋_GB2312" w:hAnsi="仿宋_GB2312" w:eastAsia="仿宋_GB2312" w:cs="仿宋_GB2312"/>
          <w:b/>
          <w:bCs/>
          <w:color w:val="auto"/>
          <w:sz w:val="32"/>
          <w:szCs w:val="32"/>
          <w:highlight w:val="none"/>
          <w:shd w:val="clear"/>
          <w:lang w:val="en-US" w:eastAsia="zh-CN"/>
        </w:rPr>
        <w:t>社会消费品零售总额</w:t>
      </w:r>
      <w:r>
        <w:rPr>
          <w:rFonts w:hint="eastAsia" w:ascii="仿宋_GB2312" w:hAnsi="仿宋_GB2312" w:eastAsia="仿宋_GB2312" w:cs="仿宋_GB2312"/>
          <w:color w:val="auto"/>
          <w:sz w:val="32"/>
          <w:szCs w:val="32"/>
          <w:highlight w:val="none"/>
          <w:shd w:val="clear"/>
          <w:lang w:val="en-US" w:eastAsia="zh-CN"/>
        </w:rPr>
        <w:t>增长8%以上；</w:t>
      </w:r>
      <w:r>
        <w:rPr>
          <w:rFonts w:hint="eastAsia" w:ascii="仿宋_GB2312" w:hAnsi="仿宋_GB2312" w:eastAsia="仿宋_GB2312" w:cs="仿宋_GB2312"/>
          <w:b/>
          <w:bCs/>
          <w:color w:val="auto"/>
          <w:sz w:val="32"/>
          <w:szCs w:val="32"/>
          <w:highlight w:val="none"/>
          <w:shd w:val="clear"/>
          <w:lang w:val="en-US" w:eastAsia="zh-CN"/>
        </w:rPr>
        <w:t>外贸进出口总额</w:t>
      </w:r>
      <w:r>
        <w:rPr>
          <w:rFonts w:hint="eastAsia" w:ascii="仿宋_GB2312" w:hAnsi="仿宋_GB2312" w:eastAsia="仿宋_GB2312" w:cs="仿宋_GB2312"/>
          <w:color w:val="auto"/>
          <w:sz w:val="32"/>
          <w:szCs w:val="32"/>
          <w:highlight w:val="none"/>
          <w:shd w:val="clear"/>
          <w:lang w:val="en-US" w:eastAsia="zh-CN"/>
        </w:rPr>
        <w:t>增长16%以上；</w:t>
      </w:r>
      <w:r>
        <w:rPr>
          <w:rFonts w:hint="eastAsia" w:ascii="仿宋_GB2312" w:hAnsi="仿宋_GB2312" w:eastAsia="仿宋_GB2312" w:cs="仿宋_GB2312"/>
          <w:b/>
          <w:bCs/>
          <w:color w:val="auto"/>
          <w:sz w:val="32"/>
          <w:szCs w:val="32"/>
          <w:highlight w:val="none"/>
          <w:shd w:val="clear"/>
          <w:lang w:val="en-US" w:eastAsia="zh-CN"/>
        </w:rPr>
        <w:t>招商引资市外到位资金</w:t>
      </w:r>
      <w:r>
        <w:rPr>
          <w:rFonts w:hint="eastAsia" w:ascii="仿宋_GB2312" w:hAnsi="仿宋_GB2312" w:eastAsia="仿宋_GB2312" w:cs="仿宋_GB2312"/>
          <w:color w:val="auto"/>
          <w:sz w:val="32"/>
          <w:szCs w:val="32"/>
          <w:highlight w:val="none"/>
          <w:shd w:val="clear"/>
          <w:lang w:val="en-US" w:eastAsia="zh-CN"/>
        </w:rPr>
        <w:t>增长10%以上；</w:t>
      </w:r>
      <w:r>
        <w:rPr>
          <w:rFonts w:hint="eastAsia" w:ascii="仿宋_GB2312" w:hAnsi="仿宋_GB2312" w:eastAsia="仿宋_GB2312" w:cs="仿宋_GB2312"/>
          <w:b/>
          <w:bCs/>
          <w:color w:val="auto"/>
          <w:sz w:val="32"/>
          <w:szCs w:val="32"/>
          <w:highlight w:val="none"/>
          <w:shd w:val="clear"/>
          <w:lang w:val="en-US" w:eastAsia="zh-CN"/>
        </w:rPr>
        <w:t>城镇常住居民人均可支配收入</w:t>
      </w:r>
      <w:r>
        <w:rPr>
          <w:rFonts w:hint="eastAsia" w:ascii="仿宋_GB2312" w:hAnsi="仿宋_GB2312" w:eastAsia="仿宋_GB2312" w:cs="仿宋_GB2312"/>
          <w:color w:val="auto"/>
          <w:sz w:val="32"/>
          <w:szCs w:val="32"/>
          <w:highlight w:val="none"/>
          <w:shd w:val="clear"/>
          <w:lang w:val="en-US" w:eastAsia="zh-CN"/>
        </w:rPr>
        <w:t>增长8%以上；</w:t>
      </w:r>
      <w:r>
        <w:rPr>
          <w:rFonts w:hint="eastAsia" w:ascii="仿宋_GB2312" w:hAnsi="仿宋_GB2312" w:eastAsia="仿宋_GB2312" w:cs="仿宋_GB2312"/>
          <w:b/>
          <w:bCs/>
          <w:color w:val="auto"/>
          <w:sz w:val="32"/>
          <w:szCs w:val="32"/>
          <w:highlight w:val="none"/>
          <w:shd w:val="clear"/>
          <w:lang w:val="en-US" w:eastAsia="zh-CN"/>
        </w:rPr>
        <w:t>农村常住居民人均可支配收入</w:t>
      </w:r>
      <w:r>
        <w:rPr>
          <w:rFonts w:hint="eastAsia" w:ascii="仿宋_GB2312" w:hAnsi="仿宋_GB2312" w:eastAsia="仿宋_GB2312" w:cs="仿宋_GB2312"/>
          <w:color w:val="auto"/>
          <w:sz w:val="32"/>
          <w:szCs w:val="32"/>
          <w:highlight w:val="none"/>
          <w:shd w:val="clear"/>
          <w:lang w:val="en-US" w:eastAsia="zh-CN"/>
        </w:rPr>
        <w:t>增长9%以上；</w:t>
      </w:r>
      <w:r>
        <w:rPr>
          <w:rFonts w:hint="eastAsia" w:ascii="仿宋_GB2312" w:hAnsi="仿宋_GB2312" w:eastAsia="仿宋_GB2312" w:cs="仿宋_GB2312"/>
          <w:b/>
          <w:bCs/>
          <w:color w:val="auto"/>
          <w:sz w:val="32"/>
          <w:szCs w:val="32"/>
          <w:highlight w:val="none"/>
          <w:shd w:val="clear"/>
          <w:lang w:val="en-US" w:eastAsia="zh-CN"/>
        </w:rPr>
        <w:t>城镇登记失业率</w:t>
      </w:r>
      <w:r>
        <w:rPr>
          <w:rFonts w:hint="eastAsia" w:ascii="仿宋_GB2312" w:hAnsi="仿宋_GB2312" w:eastAsia="仿宋_GB2312" w:cs="仿宋_GB2312"/>
          <w:color w:val="auto"/>
          <w:sz w:val="32"/>
          <w:szCs w:val="32"/>
          <w:highlight w:val="none"/>
          <w:shd w:val="clear"/>
          <w:lang w:val="en-US" w:eastAsia="zh-CN"/>
        </w:rPr>
        <w:t>控制在4.3%以内；</w:t>
      </w:r>
      <w:r>
        <w:rPr>
          <w:rFonts w:hint="eastAsia" w:ascii="仿宋_GB2312" w:hAnsi="仿宋_GB2312" w:eastAsia="仿宋_GB2312" w:cs="仿宋_GB2312"/>
          <w:b/>
          <w:bCs/>
          <w:color w:val="auto"/>
          <w:sz w:val="32"/>
          <w:szCs w:val="32"/>
          <w:highlight w:val="none"/>
          <w:shd w:val="clear"/>
          <w:lang w:val="en-US" w:eastAsia="zh-CN"/>
        </w:rPr>
        <w:t>居民消费价格总水平累计涨幅</w:t>
      </w:r>
      <w:r>
        <w:rPr>
          <w:rFonts w:hint="eastAsia" w:ascii="仿宋_GB2312" w:hAnsi="仿宋_GB2312" w:eastAsia="仿宋_GB2312" w:cs="仿宋_GB2312"/>
          <w:color w:val="auto"/>
          <w:sz w:val="32"/>
          <w:szCs w:val="32"/>
          <w:highlight w:val="none"/>
          <w:shd w:val="clear"/>
          <w:lang w:val="en-US" w:eastAsia="zh-CN"/>
        </w:rPr>
        <w:t>控制在3%左右；</w:t>
      </w:r>
      <w:r>
        <w:rPr>
          <w:rFonts w:hint="eastAsia" w:ascii="仿宋_GB2312" w:hAnsi="仿宋_GB2312" w:eastAsia="仿宋_GB2312" w:cs="仿宋_GB2312"/>
          <w:b/>
          <w:bCs/>
          <w:color w:val="auto"/>
          <w:sz w:val="32"/>
          <w:szCs w:val="32"/>
          <w:highlight w:val="none"/>
          <w:shd w:val="clear"/>
          <w:lang w:val="en-US" w:eastAsia="zh-CN"/>
        </w:rPr>
        <w:t>单位生产总值能耗</w:t>
      </w:r>
      <w:r>
        <w:rPr>
          <w:rFonts w:hint="eastAsia" w:ascii="仿宋_GB2312" w:hAnsi="仿宋_GB2312" w:eastAsia="仿宋_GB2312" w:cs="仿宋_GB2312"/>
          <w:b w:val="0"/>
          <w:bCs w:val="0"/>
          <w:color w:val="auto"/>
          <w:sz w:val="32"/>
          <w:szCs w:val="32"/>
          <w:highlight w:val="none"/>
          <w:shd w:val="clear"/>
          <w:lang w:val="en-US" w:eastAsia="zh-CN"/>
        </w:rPr>
        <w:t>下降</w:t>
      </w:r>
      <w:r>
        <w:rPr>
          <w:rFonts w:hint="eastAsia" w:ascii="仿宋_GB2312" w:hAnsi="仿宋_GB2312" w:eastAsia="仿宋_GB2312" w:cs="仿宋_GB2312"/>
          <w:color w:val="auto"/>
          <w:sz w:val="32"/>
          <w:szCs w:val="32"/>
          <w:highlight w:val="none"/>
          <w:shd w:val="clear"/>
          <w:lang w:val="en-US" w:eastAsia="zh-CN"/>
        </w:rPr>
        <w:t>完成市级下达目标。</w:t>
      </w:r>
    </w:p>
    <w:p>
      <w:pPr>
        <w:keepNext w:val="0"/>
        <w:keepLines w:val="0"/>
        <w:pageBreakBefore w:val="0"/>
        <w:widowControl w:val="0"/>
        <w:numPr>
          <w:ilvl w:val="0"/>
          <w:numId w:val="0"/>
        </w:numPr>
        <w:pBdr>
          <w:bottom w:val="single" w:color="FFFFFF" w:sz="4" w:space="28"/>
        </w:pBdr>
        <w:shd w:val="clear"/>
        <w:kinsoku/>
        <w:wordWrap/>
        <w:overflowPunct/>
        <w:topLinePunct w:val="0"/>
        <w:autoSpaceDE/>
        <w:autoSpaceDN/>
        <w:bidi w:val="0"/>
        <w:adjustRightInd/>
        <w:snapToGrid/>
        <w:spacing w:line="560" w:lineRule="exact"/>
        <w:ind w:left="0" w:leftChars="0" w:right="0" w:rightChars="0" w:firstLine="616" w:firstLineChars="200"/>
        <w:jc w:val="both"/>
        <w:textAlignment w:val="baseline"/>
        <w:outlineLvl w:val="9"/>
        <w:rPr>
          <w:rFonts w:hint="eastAsia" w:ascii="仿宋_GB2312" w:hAnsi="仿宋_GB2312" w:eastAsia="仿宋_GB2312" w:cs="仿宋_GB2312"/>
          <w:color w:val="auto"/>
          <w:sz w:val="32"/>
          <w:szCs w:val="32"/>
          <w:highlight w:val="none"/>
          <w:shd w:val="clear"/>
          <w:lang w:val="en-US" w:eastAsia="zh-CN"/>
        </w:rPr>
      </w:pPr>
      <w:r>
        <w:rPr>
          <w:rFonts w:hint="eastAsia" w:ascii="仿宋_GB2312" w:hAnsi="仿宋_GB2312" w:eastAsia="仿宋_GB2312" w:cs="仿宋_GB2312"/>
          <w:color w:val="auto"/>
          <w:spacing w:val="-6"/>
          <w:sz w:val="32"/>
          <w:szCs w:val="32"/>
        </w:rPr>
        <w:t>为实现上述目标，建议重点抓好以下十个方面的工作</w:t>
      </w:r>
      <w:r>
        <w:rPr>
          <w:rFonts w:hint="eastAsia" w:ascii="仿宋_GB2312" w:hAnsi="仿宋_GB2312" w:eastAsia="仿宋_GB2312" w:cs="仿宋_GB2312"/>
          <w:color w:val="auto"/>
          <w:spacing w:val="-6"/>
          <w:sz w:val="32"/>
          <w:szCs w:val="32"/>
          <w:lang w:eastAsia="zh-CN"/>
        </w:rPr>
        <w:t>。</w:t>
      </w:r>
    </w:p>
    <w:p>
      <w:pPr>
        <w:keepNext w:val="0"/>
        <w:keepLines w:val="0"/>
        <w:pageBreakBefore w:val="0"/>
        <w:widowControl w:val="0"/>
        <w:numPr>
          <w:ilvl w:val="-1"/>
          <w:numId w:val="0"/>
        </w:numPr>
        <w:pBdr>
          <w:bottom w:val="single" w:color="FFFFFF" w:sz="4" w:space="28"/>
        </w:pBdr>
        <w:shd w:val="clear"/>
        <w:kinsoku/>
        <w:wordWrap/>
        <w:overflowPunct/>
        <w:topLinePunct w:val="0"/>
        <w:autoSpaceDE/>
        <w:autoSpaceDN/>
        <w:bidi w:val="0"/>
        <w:adjustRightInd/>
        <w:snapToGrid/>
        <w:spacing w:line="560" w:lineRule="exact"/>
        <w:ind w:left="0" w:leftChars="0" w:right="0" w:rightChars="0" w:firstLine="643" w:firstLineChars="200"/>
        <w:jc w:val="both"/>
        <w:textAlignment w:val="baseline"/>
        <w:outlineLvl w:val="9"/>
        <w:rPr>
          <w:rFonts w:hint="eastAsia" w:ascii="仿宋_GB2312" w:hAnsi="仿宋_GB2312" w:eastAsia="仿宋_GB2312" w:cs="仿宋_GB2312"/>
          <w:color w:val="auto"/>
          <w:sz w:val="32"/>
          <w:szCs w:val="32"/>
          <w:highlight w:val="none"/>
          <w:shd w:val="clear"/>
          <w:lang w:val="en-US" w:eastAsia="zh-CN"/>
        </w:rPr>
      </w:pPr>
      <w:r>
        <w:rPr>
          <w:rFonts w:hint="eastAsia" w:ascii="楷体_GB2312" w:hAnsi="楷体_GB2312" w:eastAsia="楷体_GB2312" w:cs="楷体_GB2312"/>
          <w:b/>
          <w:bCs/>
          <w:color w:val="auto"/>
          <w:kern w:val="0"/>
          <w:sz w:val="32"/>
          <w:szCs w:val="32"/>
          <w:highlight w:val="none"/>
          <w:shd w:val="clear"/>
          <w:lang w:val="en-US" w:eastAsia="zh-CN" w:bidi="ar"/>
        </w:rPr>
        <w:t>（一）全力保障经济高质量发展。</w:t>
      </w:r>
      <w:r>
        <w:rPr>
          <w:rFonts w:hint="eastAsia" w:ascii="仿宋_GB2312" w:hAnsi="仿宋_GB2312" w:eastAsia="仿宋_GB2312" w:cs="仿宋_GB2312"/>
          <w:b/>
          <w:bCs/>
          <w:color w:val="auto"/>
          <w:spacing w:val="-6"/>
          <w:kern w:val="2"/>
          <w:sz w:val="32"/>
          <w:szCs w:val="32"/>
          <w:highlight w:val="none"/>
          <w:shd w:val="clear"/>
          <w:lang w:val="en-US" w:eastAsia="zh-CN" w:bidi="ar-SA"/>
        </w:rPr>
        <w:t>一要</w:t>
      </w:r>
      <w:r>
        <w:rPr>
          <w:rFonts w:hint="eastAsia" w:ascii="仿宋_GB2312" w:hAnsi="仿宋_GB2312" w:eastAsia="仿宋_GB2312" w:cs="仿宋_GB2312"/>
          <w:b/>
          <w:bCs/>
          <w:i w:val="0"/>
          <w:caps w:val="0"/>
          <w:color w:val="auto"/>
          <w:spacing w:val="-6"/>
          <w:sz w:val="32"/>
          <w:szCs w:val="32"/>
          <w:highlight w:val="none"/>
          <w:shd w:val="clear" w:fill="auto"/>
          <w:lang w:val="en-US" w:eastAsia="zh-CN"/>
        </w:rPr>
        <w:t>落实</w:t>
      </w:r>
      <w:r>
        <w:rPr>
          <w:rFonts w:hint="eastAsia" w:ascii="仿宋_GB2312" w:hAnsi="仿宋_GB2312" w:eastAsia="仿宋_GB2312" w:cs="仿宋_GB2312"/>
          <w:b/>
          <w:bCs/>
          <w:i w:val="0"/>
          <w:caps w:val="0"/>
          <w:color w:val="auto"/>
          <w:spacing w:val="-6"/>
          <w:sz w:val="32"/>
          <w:szCs w:val="32"/>
          <w:highlight w:val="none"/>
          <w:shd w:val="clear" w:fill="auto"/>
        </w:rPr>
        <w:t>有效宏观政策</w:t>
      </w:r>
      <w:r>
        <w:rPr>
          <w:rFonts w:hint="eastAsia" w:ascii="仿宋_GB2312" w:hAnsi="仿宋_GB2312" w:eastAsia="仿宋_GB2312" w:cs="仿宋_GB2312"/>
          <w:b/>
          <w:bCs/>
          <w:i w:val="0"/>
          <w:caps w:val="0"/>
          <w:color w:val="auto"/>
          <w:spacing w:val="-6"/>
          <w:sz w:val="32"/>
          <w:szCs w:val="32"/>
          <w:highlight w:val="none"/>
          <w:shd w:val="clear" w:fill="auto"/>
          <w:lang w:eastAsia="zh-CN"/>
        </w:rPr>
        <w:t>，</w:t>
      </w:r>
      <w:r>
        <w:rPr>
          <w:rFonts w:hint="eastAsia" w:ascii="仿宋_GB2312" w:hAnsi="仿宋_GB2312" w:eastAsia="仿宋_GB2312" w:cs="仿宋_GB2312"/>
          <w:b/>
          <w:bCs/>
          <w:i w:val="0"/>
          <w:caps w:val="0"/>
          <w:color w:val="auto"/>
          <w:spacing w:val="-6"/>
          <w:sz w:val="32"/>
          <w:szCs w:val="32"/>
          <w:highlight w:val="none"/>
          <w:shd w:val="clear" w:fill="auto"/>
          <w:lang w:val="en-US" w:eastAsia="zh-CN"/>
        </w:rPr>
        <w:t>制定</w:t>
      </w:r>
      <w:r>
        <w:rPr>
          <w:rFonts w:hint="eastAsia" w:ascii="仿宋_GB2312" w:hAnsi="仿宋_GB2312" w:eastAsia="仿宋_GB2312" w:cs="仿宋_GB2312"/>
          <w:b/>
          <w:bCs/>
          <w:i w:val="0"/>
          <w:caps w:val="0"/>
          <w:color w:val="auto"/>
          <w:spacing w:val="-6"/>
          <w:sz w:val="32"/>
          <w:szCs w:val="32"/>
          <w:highlight w:val="none"/>
          <w:shd w:val="clear"/>
          <w:lang w:val="en-US" w:eastAsia="zh-CN"/>
        </w:rPr>
        <w:t>有利</w:t>
      </w:r>
      <w:r>
        <w:rPr>
          <w:rFonts w:hint="eastAsia" w:ascii="仿宋_GB2312" w:hAnsi="仿宋_GB2312" w:eastAsia="仿宋_GB2312" w:cs="仿宋_GB2312"/>
          <w:b/>
          <w:bCs/>
          <w:i w:val="0"/>
          <w:caps w:val="0"/>
          <w:color w:val="auto"/>
          <w:spacing w:val="-6"/>
          <w:sz w:val="32"/>
          <w:szCs w:val="32"/>
          <w:highlight w:val="none"/>
          <w:shd w:val="clear" w:fill="auto"/>
        </w:rPr>
        <w:t>经济</w:t>
      </w:r>
      <w:r>
        <w:rPr>
          <w:rFonts w:hint="eastAsia" w:ascii="仿宋_GB2312" w:hAnsi="仿宋_GB2312" w:eastAsia="仿宋_GB2312" w:cs="仿宋_GB2312"/>
          <w:b/>
          <w:bCs/>
          <w:i w:val="0"/>
          <w:caps w:val="0"/>
          <w:color w:val="auto"/>
          <w:spacing w:val="-6"/>
          <w:sz w:val="32"/>
          <w:szCs w:val="32"/>
          <w:highlight w:val="none"/>
          <w:shd w:val="clear"/>
          <w:lang w:val="en-US" w:eastAsia="zh-CN"/>
        </w:rPr>
        <w:t>发展</w:t>
      </w:r>
      <w:r>
        <w:rPr>
          <w:rFonts w:hint="eastAsia" w:ascii="仿宋_GB2312" w:hAnsi="仿宋_GB2312" w:eastAsia="仿宋_GB2312" w:cs="仿宋_GB2312"/>
          <w:b/>
          <w:bCs/>
          <w:i w:val="0"/>
          <w:caps w:val="0"/>
          <w:color w:val="auto"/>
          <w:spacing w:val="-6"/>
          <w:sz w:val="32"/>
          <w:szCs w:val="32"/>
          <w:highlight w:val="none"/>
          <w:shd w:val="clear"/>
        </w:rPr>
        <w:t>稳定</w:t>
      </w:r>
      <w:r>
        <w:rPr>
          <w:rFonts w:hint="eastAsia" w:ascii="仿宋_GB2312" w:hAnsi="仿宋_GB2312" w:eastAsia="仿宋_GB2312" w:cs="仿宋_GB2312"/>
          <w:b/>
          <w:bCs/>
          <w:i w:val="0"/>
          <w:caps w:val="0"/>
          <w:color w:val="auto"/>
          <w:spacing w:val="-6"/>
          <w:sz w:val="32"/>
          <w:szCs w:val="32"/>
          <w:highlight w:val="none"/>
          <w:shd w:val="clear" w:fill="auto"/>
          <w:lang w:val="en-US" w:eastAsia="zh-CN"/>
        </w:rPr>
        <w:t>措施。</w:t>
      </w:r>
      <w:r>
        <w:rPr>
          <w:rFonts w:hint="eastAsia" w:ascii="仿宋_GB2312" w:hAnsi="仿宋_GB2312" w:eastAsia="仿宋_GB2312" w:cs="仿宋_GB2312"/>
          <w:b w:val="0"/>
          <w:bCs w:val="0"/>
          <w:i w:val="0"/>
          <w:caps w:val="0"/>
          <w:color w:val="auto"/>
          <w:spacing w:val="-6"/>
          <w:sz w:val="32"/>
          <w:szCs w:val="32"/>
          <w:highlight w:val="none"/>
          <w:shd w:val="clear"/>
          <w:lang w:val="en-US" w:eastAsia="zh-CN"/>
        </w:rPr>
        <w:t>认真贯彻落实中央、省、市关于经济发展</w:t>
      </w:r>
      <w:r>
        <w:rPr>
          <w:rFonts w:hint="eastAsia" w:ascii="仿宋_GB2312" w:hAnsi="仿宋_GB2312" w:eastAsia="仿宋_GB2312" w:cs="仿宋_GB2312"/>
          <w:i w:val="0"/>
          <w:caps w:val="0"/>
          <w:color w:val="auto"/>
          <w:spacing w:val="-6"/>
          <w:sz w:val="32"/>
          <w:szCs w:val="32"/>
          <w:highlight w:val="none"/>
          <w:shd w:val="clear" w:fill="auto"/>
        </w:rPr>
        <w:t>稳健有效</w:t>
      </w:r>
      <w:r>
        <w:rPr>
          <w:rFonts w:hint="eastAsia" w:ascii="仿宋_GB2312" w:hAnsi="仿宋_GB2312" w:eastAsia="仿宋_GB2312" w:cs="仿宋_GB2312"/>
          <w:i w:val="0"/>
          <w:caps w:val="0"/>
          <w:color w:val="auto"/>
          <w:spacing w:val="-6"/>
          <w:sz w:val="32"/>
          <w:szCs w:val="32"/>
          <w:highlight w:val="none"/>
          <w:shd w:val="clear" w:fill="auto"/>
          <w:lang w:val="en-US" w:eastAsia="zh-CN"/>
        </w:rPr>
        <w:t>的</w:t>
      </w:r>
      <w:r>
        <w:rPr>
          <w:rFonts w:hint="eastAsia" w:ascii="仿宋_GB2312" w:hAnsi="仿宋_GB2312" w:eastAsia="仿宋_GB2312" w:cs="仿宋_GB2312"/>
          <w:i w:val="0"/>
          <w:caps w:val="0"/>
          <w:color w:val="auto"/>
          <w:spacing w:val="-6"/>
          <w:sz w:val="32"/>
          <w:szCs w:val="32"/>
          <w:highlight w:val="none"/>
          <w:shd w:val="clear" w:fill="auto"/>
        </w:rPr>
        <w:t>宏观政策</w:t>
      </w:r>
      <w:r>
        <w:rPr>
          <w:rFonts w:hint="eastAsia" w:ascii="仿宋_GB2312" w:hAnsi="仿宋_GB2312" w:eastAsia="仿宋_GB2312" w:cs="仿宋_GB2312"/>
          <w:i w:val="0"/>
          <w:caps w:val="0"/>
          <w:color w:val="auto"/>
          <w:spacing w:val="-6"/>
          <w:sz w:val="32"/>
          <w:szCs w:val="32"/>
          <w:highlight w:val="none"/>
          <w:shd w:val="clear" w:fill="auto"/>
          <w:lang w:eastAsia="zh-CN"/>
        </w:rPr>
        <w:t>。</w:t>
      </w:r>
      <w:r>
        <w:rPr>
          <w:rFonts w:hint="eastAsia" w:ascii="仿宋_GB2312" w:hAnsi="仿宋_GB2312" w:eastAsia="仿宋_GB2312" w:cs="仿宋_GB2312"/>
          <w:i w:val="0"/>
          <w:caps w:val="0"/>
          <w:color w:val="auto"/>
          <w:spacing w:val="-6"/>
          <w:sz w:val="32"/>
          <w:szCs w:val="32"/>
          <w:highlight w:val="none"/>
          <w:shd w:val="clear"/>
          <w:lang w:val="en-US" w:eastAsia="zh-CN"/>
        </w:rPr>
        <w:t>制定出台全区稳增长的实施</w:t>
      </w:r>
      <w:r>
        <w:rPr>
          <w:rFonts w:hint="eastAsia" w:ascii="仿宋_GB2312" w:hAnsi="仿宋_GB2312" w:eastAsia="仿宋_GB2312" w:cs="仿宋_GB2312"/>
          <w:i w:val="0"/>
          <w:caps w:val="0"/>
          <w:color w:val="auto"/>
          <w:spacing w:val="-6"/>
          <w:sz w:val="32"/>
          <w:szCs w:val="32"/>
          <w:shd w:val="clear"/>
          <w:lang w:val="en-US" w:eastAsia="zh-CN"/>
        </w:rPr>
        <w:t>意见，</w:t>
      </w:r>
      <w:r>
        <w:rPr>
          <w:rFonts w:hint="eastAsia" w:ascii="仿宋_GB2312" w:hAnsi="仿宋_GB2312" w:eastAsia="仿宋_GB2312" w:cs="仿宋_GB2312"/>
          <w:i w:val="0"/>
          <w:caps w:val="0"/>
          <w:color w:val="auto"/>
          <w:spacing w:val="-6"/>
          <w:sz w:val="32"/>
          <w:szCs w:val="32"/>
          <w:shd w:val="clear" w:fill="auto"/>
        </w:rPr>
        <w:t>实施新的减税降费政策，</w:t>
      </w:r>
      <w:r>
        <w:rPr>
          <w:rFonts w:hint="eastAsia" w:ascii="仿宋_GB2312" w:hAnsi="仿宋_GB2312" w:eastAsia="仿宋_GB2312" w:cs="仿宋_GB2312"/>
          <w:i w:val="0"/>
          <w:caps w:val="0"/>
          <w:color w:val="auto"/>
          <w:spacing w:val="0"/>
          <w:sz w:val="28"/>
          <w:szCs w:val="28"/>
          <w:shd w:val="clear" w:fill="FFFFFF"/>
        </w:rPr>
        <w:t>加</w:t>
      </w:r>
      <w:r>
        <w:rPr>
          <w:rFonts w:hint="eastAsia" w:ascii="仿宋_GB2312" w:hAnsi="仿宋_GB2312" w:eastAsia="仿宋_GB2312" w:cs="仿宋_GB2312"/>
          <w:i w:val="0"/>
          <w:caps w:val="0"/>
          <w:color w:val="auto"/>
          <w:spacing w:val="-6"/>
          <w:sz w:val="32"/>
          <w:szCs w:val="32"/>
          <w:shd w:val="clear" w:fill="auto"/>
        </w:rPr>
        <w:t>大对实体经济特别是小微企业、科技创新、绿色发展的支持。</w:t>
      </w:r>
      <w:r>
        <w:rPr>
          <w:rFonts w:hint="eastAsia" w:ascii="仿宋_GB2312" w:hAnsi="仿宋_GB2312" w:eastAsia="仿宋_GB2312" w:cs="仿宋_GB2312"/>
          <w:i w:val="0"/>
          <w:caps w:val="0"/>
          <w:color w:val="auto"/>
          <w:spacing w:val="-6"/>
          <w:sz w:val="32"/>
          <w:szCs w:val="32"/>
          <w:shd w:val="clear" w:fill="auto"/>
          <w:lang w:val="en-US" w:eastAsia="zh-CN"/>
        </w:rPr>
        <w:t>持续</w:t>
      </w:r>
      <w:r>
        <w:rPr>
          <w:rFonts w:hint="eastAsia" w:ascii="仿宋_GB2312" w:hAnsi="仿宋_GB2312" w:eastAsia="仿宋_GB2312" w:cs="仿宋_GB2312"/>
          <w:i w:val="0"/>
          <w:caps w:val="0"/>
          <w:color w:val="auto"/>
          <w:spacing w:val="-6"/>
          <w:sz w:val="32"/>
          <w:szCs w:val="32"/>
          <w:shd w:val="clear" w:fill="auto"/>
        </w:rPr>
        <w:t>做好“六稳”、“六保”工作，着力稳定宏观经济大盘，保持经济</w:t>
      </w:r>
      <w:r>
        <w:rPr>
          <w:rFonts w:hint="eastAsia" w:ascii="仿宋_GB2312" w:hAnsi="仿宋_GB2312" w:eastAsia="仿宋_GB2312" w:cs="仿宋_GB2312"/>
          <w:i w:val="0"/>
          <w:caps w:val="0"/>
          <w:color w:val="auto"/>
          <w:spacing w:val="-6"/>
          <w:sz w:val="32"/>
          <w:szCs w:val="32"/>
          <w:shd w:val="clear" w:fill="auto"/>
          <w:lang w:val="en-US" w:eastAsia="zh-CN"/>
        </w:rPr>
        <w:t>社会平稳健康发展</w:t>
      </w:r>
      <w:r>
        <w:rPr>
          <w:rFonts w:hint="eastAsia" w:ascii="仿宋_GB2312" w:hAnsi="仿宋_GB2312" w:eastAsia="仿宋_GB2312" w:cs="仿宋_GB2312"/>
          <w:i w:val="0"/>
          <w:caps w:val="0"/>
          <w:color w:val="auto"/>
          <w:spacing w:val="-6"/>
          <w:sz w:val="32"/>
          <w:szCs w:val="32"/>
          <w:shd w:val="clear" w:fill="auto"/>
          <w:lang w:eastAsia="zh-CN"/>
        </w:rPr>
        <w:t>。</w:t>
      </w:r>
      <w:r>
        <w:rPr>
          <w:rFonts w:hint="eastAsia" w:ascii="仿宋_GB2312" w:hAnsi="仿宋_GB2312" w:eastAsia="仿宋_GB2312" w:cs="仿宋_GB2312"/>
          <w:b/>
          <w:bCs/>
          <w:i w:val="0"/>
          <w:caps w:val="0"/>
          <w:color w:val="auto"/>
          <w:spacing w:val="0"/>
          <w:sz w:val="32"/>
          <w:szCs w:val="32"/>
          <w:highlight w:val="none"/>
          <w:shd w:val="clear"/>
          <w:lang w:val="en-US" w:eastAsia="zh-CN"/>
        </w:rPr>
        <w:t>二要</w:t>
      </w:r>
      <w:r>
        <w:rPr>
          <w:rFonts w:hint="eastAsia" w:ascii="仿宋_GB2312" w:hAnsi="仿宋_GB2312" w:eastAsia="仿宋_GB2312" w:cs="仿宋_GB2312"/>
          <w:b/>
          <w:bCs/>
          <w:color w:val="auto"/>
          <w:sz w:val="32"/>
          <w:szCs w:val="32"/>
          <w:highlight w:val="none"/>
          <w:shd w:val="clear"/>
          <w:lang w:val="en-US" w:eastAsia="zh-CN"/>
        </w:rPr>
        <w:t>持续强化疫情防控，创造经济社会发展良好环境。</w:t>
      </w:r>
      <w:r>
        <w:rPr>
          <w:rFonts w:hint="eastAsia" w:ascii="仿宋_GB2312" w:hAnsi="仿宋_GB2312" w:eastAsia="仿宋_GB2312" w:cs="仿宋_GB2312"/>
          <w:color w:val="auto"/>
          <w:sz w:val="32"/>
          <w:szCs w:val="32"/>
          <w:highlight w:val="none"/>
          <w:shd w:val="clear"/>
          <w:lang w:val="en-US" w:eastAsia="zh-CN"/>
        </w:rPr>
        <w:t>持之以恒从快、从严、从细、从实抓好疫情防控各项工作，筑牢疫情防控成果，维护人民健康，为经济社会高质量发展创造良好环境。</w:t>
      </w:r>
    </w:p>
    <w:p>
      <w:pPr>
        <w:keepNext w:val="0"/>
        <w:keepLines w:val="0"/>
        <w:pageBreakBefore w:val="0"/>
        <w:widowControl w:val="0"/>
        <w:numPr>
          <w:ilvl w:val="-1"/>
          <w:numId w:val="0"/>
        </w:numPr>
        <w:pBdr>
          <w:bottom w:val="single" w:color="FFFFFF" w:sz="4" w:space="28"/>
        </w:pBdr>
        <w:shd w:val="clear"/>
        <w:kinsoku/>
        <w:wordWrap/>
        <w:overflowPunct/>
        <w:topLinePunct w:val="0"/>
        <w:autoSpaceDE/>
        <w:autoSpaceDN/>
        <w:bidi w:val="0"/>
        <w:adjustRightInd/>
        <w:snapToGrid/>
        <w:spacing w:line="560" w:lineRule="exact"/>
        <w:ind w:left="0" w:leftChars="0" w:right="0" w:rightChars="0" w:firstLine="643" w:firstLineChars="200"/>
        <w:jc w:val="both"/>
        <w:textAlignment w:val="baseline"/>
        <w:outlineLvl w:val="9"/>
        <w:rPr>
          <w:rFonts w:hint="eastAsia" w:ascii="仿宋_GB2312" w:hAnsi="仿宋_GB2312" w:eastAsia="仿宋_GB2312" w:cs="仿宋_GB2312"/>
          <w:b w:val="0"/>
          <w:bCs w:val="0"/>
          <w:color w:val="auto"/>
          <w:kern w:val="2"/>
          <w:sz w:val="32"/>
          <w:szCs w:val="32"/>
          <w:highlight w:val="none"/>
          <w:shd w:val="clear"/>
          <w:lang w:val="en-US" w:eastAsia="zh-CN" w:bidi="ar-SA"/>
        </w:rPr>
      </w:pPr>
      <w:r>
        <w:rPr>
          <w:rFonts w:hint="eastAsia" w:ascii="楷体_GB2312" w:hAnsi="楷体_GB2312" w:eastAsia="楷体_GB2312" w:cs="楷体_GB2312"/>
          <w:b/>
          <w:bCs/>
          <w:color w:val="auto"/>
          <w:kern w:val="0"/>
          <w:sz w:val="32"/>
          <w:szCs w:val="32"/>
          <w:highlight w:val="none"/>
          <w:shd w:val="clear"/>
          <w:lang w:val="en-US" w:eastAsia="zh-CN" w:bidi="ar"/>
        </w:rPr>
        <w:t>（二）全面推进基础设施建设。</w:t>
      </w:r>
      <w:r>
        <w:rPr>
          <w:rFonts w:hint="eastAsia" w:ascii="仿宋_GB2312" w:hAnsi="仿宋_GB2312" w:eastAsia="仿宋_GB2312" w:cs="仿宋_GB2312"/>
          <w:b w:val="0"/>
          <w:bCs w:val="0"/>
          <w:color w:val="auto"/>
          <w:kern w:val="2"/>
          <w:sz w:val="32"/>
          <w:szCs w:val="32"/>
          <w:highlight w:val="none"/>
          <w:shd w:val="clear"/>
          <w:lang w:val="en-US" w:eastAsia="zh-CN" w:bidi="ar-SA"/>
        </w:rPr>
        <w:t>扭住项目建设这个关键抓落实，按照“找项目、制项目、报项目、干项目、用项目”的工作原则和方法，强力推进项目建设。</w:t>
      </w:r>
      <w:r>
        <w:rPr>
          <w:rFonts w:hint="eastAsia" w:ascii="仿宋_GB2312" w:hAnsi="仿宋_GB2312" w:eastAsia="仿宋_GB2312" w:cs="仿宋_GB2312"/>
          <w:b/>
          <w:bCs/>
          <w:color w:val="auto"/>
          <w:kern w:val="2"/>
          <w:sz w:val="32"/>
          <w:szCs w:val="32"/>
          <w:highlight w:val="none"/>
          <w:shd w:val="clear"/>
          <w:lang w:val="en-US" w:eastAsia="zh-CN" w:bidi="ar-SA"/>
        </w:rPr>
        <w:t>一要谋划储备项目。</w:t>
      </w:r>
      <w:r>
        <w:rPr>
          <w:rFonts w:hint="eastAsia" w:ascii="仿宋_GB2312" w:hAnsi="仿宋_GB2312" w:eastAsia="仿宋_GB2312" w:cs="仿宋_GB2312"/>
          <w:b w:val="0"/>
          <w:bCs w:val="0"/>
          <w:color w:val="auto"/>
          <w:kern w:val="2"/>
          <w:sz w:val="32"/>
          <w:szCs w:val="32"/>
          <w:highlight w:val="none"/>
          <w:shd w:val="clear"/>
          <w:lang w:val="en-US" w:eastAsia="zh-CN" w:bidi="ar-SA"/>
        </w:rPr>
        <w:t>紧扣国家、省政策导向和中央、省有关会议精神，谋划实施一批强基础、增动能、利长远的重大项目。对梳理出来落实省第十一次党代会精神的332个项目再细化，再优化，明确建设时限。</w:t>
      </w:r>
      <w:r>
        <w:rPr>
          <w:rFonts w:hint="eastAsia" w:ascii="仿宋_GB2312" w:hAnsi="仿宋_GB2312" w:eastAsia="仿宋_GB2312" w:cs="仿宋_GB2312"/>
          <w:b/>
          <w:bCs/>
          <w:color w:val="auto"/>
          <w:kern w:val="2"/>
          <w:sz w:val="32"/>
          <w:szCs w:val="32"/>
          <w:highlight w:val="none"/>
          <w:shd w:val="clear"/>
          <w:lang w:val="en-US" w:eastAsia="zh-CN" w:bidi="ar-SA"/>
        </w:rPr>
        <w:t>二要抓实项目前期。</w:t>
      </w:r>
      <w:r>
        <w:rPr>
          <w:rFonts w:hint="eastAsia" w:ascii="仿宋_GB2312" w:hAnsi="仿宋_GB2312" w:eastAsia="仿宋_GB2312" w:cs="仿宋_GB2312"/>
          <w:b w:val="0"/>
          <w:bCs w:val="0"/>
          <w:color w:val="auto"/>
          <w:kern w:val="2"/>
          <w:sz w:val="32"/>
          <w:szCs w:val="32"/>
          <w:highlight w:val="none"/>
          <w:shd w:val="clear"/>
          <w:lang w:val="en-US" w:eastAsia="zh-CN" w:bidi="ar-SA"/>
        </w:rPr>
        <w:t>聚焦产业链、现代基础设施、数字经济、民生领域等方面，梳理出近期成熟度高，符合国家产业政策导向的项目开展前期工作。确保年内完成1亿元以上前期工作15项以上，争取项目资金支持（含地方债券资金）28.5亿元以上。</w:t>
      </w:r>
      <w:r>
        <w:rPr>
          <w:rFonts w:hint="eastAsia" w:ascii="仿宋_GB2312" w:hAnsi="仿宋_GB2312" w:eastAsia="仿宋_GB2312" w:cs="仿宋_GB2312"/>
          <w:b/>
          <w:bCs/>
          <w:color w:val="auto"/>
          <w:kern w:val="2"/>
          <w:sz w:val="32"/>
          <w:szCs w:val="32"/>
          <w:highlight w:val="none"/>
          <w:shd w:val="clear"/>
          <w:lang w:val="en-US" w:eastAsia="zh-CN" w:bidi="ar-SA"/>
        </w:rPr>
        <w:t>三要强化要素保障。</w:t>
      </w:r>
      <w:r>
        <w:rPr>
          <w:rFonts w:hint="eastAsia" w:ascii="仿宋_GB2312" w:hAnsi="仿宋_GB2312" w:eastAsia="仿宋_GB2312" w:cs="仿宋_GB2312"/>
          <w:b w:val="0"/>
          <w:bCs w:val="0"/>
          <w:color w:val="auto"/>
          <w:kern w:val="2"/>
          <w:sz w:val="32"/>
          <w:szCs w:val="32"/>
          <w:highlight w:val="none"/>
          <w:shd w:val="clear"/>
          <w:lang w:val="en-US" w:eastAsia="zh-CN" w:bidi="ar-SA"/>
        </w:rPr>
        <w:t>主动靠前服务，纵向加强汇报衔接，横向联动配合，压缩审批时限，争取用地指标支持，确保项目落地实施。力争全年新开工项目172项以上。</w:t>
      </w:r>
      <w:r>
        <w:rPr>
          <w:rFonts w:hint="eastAsia" w:ascii="仿宋_GB2312" w:hAnsi="仿宋_GB2312" w:eastAsia="仿宋_GB2312" w:cs="仿宋_GB2312"/>
          <w:b/>
          <w:bCs/>
          <w:color w:val="auto"/>
          <w:kern w:val="2"/>
          <w:sz w:val="32"/>
          <w:szCs w:val="32"/>
          <w:highlight w:val="none"/>
          <w:shd w:val="clear"/>
          <w:lang w:val="en-US" w:eastAsia="zh-CN" w:bidi="ar-SA"/>
        </w:rPr>
        <w:t>四要全力推进项目建设</w:t>
      </w:r>
      <w:r>
        <w:rPr>
          <w:rFonts w:hint="eastAsia" w:ascii="仿宋_GB2312" w:hAnsi="仿宋_GB2312" w:eastAsia="仿宋_GB2312" w:cs="仿宋_GB2312"/>
          <w:b w:val="0"/>
          <w:bCs w:val="0"/>
          <w:color w:val="auto"/>
          <w:kern w:val="2"/>
          <w:sz w:val="32"/>
          <w:szCs w:val="32"/>
          <w:highlight w:val="none"/>
          <w:shd w:val="clear"/>
          <w:lang w:val="en-US" w:eastAsia="zh-CN" w:bidi="ar-SA"/>
        </w:rPr>
        <w:t>。持续落实处级领导挂钩服务重点项目机制，责任部门跟踪落实，部门联动开展督查的方式，确保69项重点项目加快推进。</w:t>
      </w:r>
      <w:r>
        <w:rPr>
          <w:rFonts w:hint="eastAsia" w:ascii="仿宋_GB2312" w:hAnsi="仿宋_GB2312" w:eastAsia="仿宋_GB2312" w:cs="仿宋_GB2312"/>
          <w:b/>
          <w:bCs/>
          <w:color w:val="auto"/>
          <w:kern w:val="2"/>
          <w:sz w:val="32"/>
          <w:szCs w:val="32"/>
          <w:highlight w:val="none"/>
          <w:shd w:val="clear"/>
          <w:lang w:val="en-US" w:eastAsia="zh-CN" w:bidi="ar-SA"/>
        </w:rPr>
        <w:t>综合交通方面</w:t>
      </w:r>
      <w:r>
        <w:rPr>
          <w:rFonts w:hint="eastAsia" w:ascii="仿宋_GB2312" w:hAnsi="仿宋_GB2312" w:eastAsia="仿宋_GB2312" w:cs="仿宋_GB2312"/>
          <w:b w:val="0"/>
          <w:bCs w:val="0"/>
          <w:color w:val="auto"/>
          <w:kern w:val="2"/>
          <w:sz w:val="32"/>
          <w:szCs w:val="32"/>
          <w:highlight w:val="none"/>
          <w:shd w:val="clear"/>
          <w:lang w:val="en-US" w:eastAsia="zh-CN" w:bidi="ar-SA"/>
        </w:rPr>
        <w:t>：重点做好三条跨县区高速建设服务保障；配合市级做好临清铁路、临普铁路、昔云高速等项目前期工作并争取年内开工建设。加快推进农村三级公路、自然村道路、南北枢纽站及“美丽公路”等建设。</w:t>
      </w:r>
      <w:r>
        <w:rPr>
          <w:rFonts w:hint="eastAsia" w:ascii="仿宋_GB2312" w:hAnsi="仿宋_GB2312" w:eastAsia="仿宋_GB2312" w:cs="仿宋_GB2312"/>
          <w:b/>
          <w:bCs/>
          <w:color w:val="auto"/>
          <w:kern w:val="2"/>
          <w:sz w:val="32"/>
          <w:szCs w:val="32"/>
          <w:highlight w:val="none"/>
          <w:shd w:val="clear"/>
          <w:lang w:val="en-US" w:eastAsia="zh-CN" w:bidi="ar-SA"/>
        </w:rPr>
        <w:t>水利设施方面</w:t>
      </w:r>
      <w:r>
        <w:rPr>
          <w:rFonts w:hint="eastAsia" w:ascii="仿宋_GB2312" w:hAnsi="仿宋_GB2312" w:eastAsia="仿宋_GB2312" w:cs="仿宋_GB2312"/>
          <w:b w:val="0"/>
          <w:bCs w:val="0"/>
          <w:color w:val="auto"/>
          <w:kern w:val="2"/>
          <w:sz w:val="32"/>
          <w:szCs w:val="32"/>
          <w:highlight w:val="none"/>
          <w:shd w:val="clear"/>
          <w:lang w:val="en-US" w:eastAsia="zh-CN" w:bidi="ar-SA"/>
        </w:rPr>
        <w:t>：重点做好双河水库、</w:t>
      </w:r>
      <w:r>
        <w:rPr>
          <w:rFonts w:hint="eastAsia" w:ascii="仿宋_GB2312" w:hAnsi="仿宋_GB2312" w:eastAsia="仿宋_GB2312" w:cs="仿宋_GB2312"/>
          <w:color w:val="auto"/>
          <w:kern w:val="0"/>
          <w:sz w:val="32"/>
          <w:szCs w:val="32"/>
          <w:highlight w:val="none"/>
          <w:shd w:val="clear"/>
          <w:lang w:val="en-US" w:eastAsia="zh-CN" w:bidi="ar"/>
        </w:rPr>
        <w:t>澜沧江水资源综合利用－平村乡供水等项目前期工作。加快推进大桥坡、曼豪箐、</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十三五</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规划河道治理</w:t>
      </w:r>
      <w:r>
        <w:rPr>
          <w:rFonts w:hint="eastAsia" w:ascii="仿宋_GB2312" w:hAnsi="仿宋_GB2312" w:eastAsia="仿宋_GB2312" w:cs="仿宋_GB2312"/>
          <w:color w:val="auto"/>
          <w:kern w:val="0"/>
          <w:sz w:val="32"/>
          <w:szCs w:val="32"/>
          <w:highlight w:val="none"/>
          <w:shd w:val="clear"/>
          <w:lang w:val="en-US" w:eastAsia="zh-CN" w:bidi="ar"/>
        </w:rPr>
        <w:t>等项目建设，启动实施弯子水库、中小河流治理等项目。</w:t>
      </w:r>
      <w:r>
        <w:rPr>
          <w:rFonts w:hint="eastAsia" w:ascii="仿宋_GB2312" w:hAnsi="仿宋_GB2312" w:eastAsia="仿宋_GB2312" w:cs="仿宋_GB2312"/>
          <w:b/>
          <w:bCs/>
          <w:color w:val="auto"/>
          <w:kern w:val="0"/>
          <w:sz w:val="32"/>
          <w:szCs w:val="32"/>
          <w:highlight w:val="none"/>
          <w:shd w:val="clear"/>
          <w:lang w:val="en-US" w:eastAsia="zh-CN" w:bidi="ar"/>
        </w:rPr>
        <w:t>市政建设方面</w:t>
      </w:r>
      <w:r>
        <w:rPr>
          <w:rFonts w:hint="eastAsia" w:ascii="仿宋_GB2312" w:hAnsi="仿宋_GB2312" w:eastAsia="仿宋_GB2312" w:cs="仿宋_GB2312"/>
          <w:color w:val="auto"/>
          <w:kern w:val="0"/>
          <w:sz w:val="32"/>
          <w:szCs w:val="32"/>
          <w:highlight w:val="none"/>
          <w:shd w:val="clear"/>
          <w:lang w:val="en-US" w:eastAsia="zh-CN" w:bidi="ar"/>
        </w:rPr>
        <w:t>：加快推进头塘、章嘎片区城市更新带动，</w:t>
      </w:r>
      <w:r>
        <w:rPr>
          <w:rFonts w:hint="eastAsia" w:ascii="仿宋_GB2312" w:hAnsi="仿宋_GB2312" w:eastAsia="仿宋_GB2312" w:cs="仿宋_GB2312"/>
          <w:color w:val="auto"/>
          <w:sz w:val="32"/>
          <w:szCs w:val="32"/>
          <w:highlight w:val="none"/>
          <w:shd w:val="clear"/>
        </w:rPr>
        <w:t>公共停车场</w:t>
      </w:r>
      <w:r>
        <w:rPr>
          <w:rFonts w:hint="eastAsia" w:ascii="仿宋_GB2312" w:hAnsi="仿宋_GB2312" w:eastAsia="仿宋_GB2312" w:cs="仿宋_GB2312"/>
          <w:color w:val="auto"/>
          <w:sz w:val="32"/>
          <w:szCs w:val="32"/>
          <w:highlight w:val="none"/>
          <w:shd w:val="clear"/>
          <w:lang w:eastAsia="zh-CN"/>
        </w:rPr>
        <w:t>、</w:t>
      </w:r>
      <w:r>
        <w:rPr>
          <w:rFonts w:hint="eastAsia" w:ascii="仿宋_GB2312" w:hAnsi="仿宋_GB2312" w:eastAsia="仿宋_GB2312" w:cs="仿宋_GB2312"/>
          <w:color w:val="auto"/>
          <w:sz w:val="32"/>
          <w:szCs w:val="32"/>
          <w:highlight w:val="none"/>
          <w:shd w:val="clear"/>
          <w:lang w:val="en-US" w:eastAsia="zh-CN"/>
        </w:rPr>
        <w:t>充电基础设施、老旧小区改造等项目建设。启动实施</w:t>
      </w:r>
      <w:r>
        <w:rPr>
          <w:rFonts w:hint="eastAsia" w:ascii="仿宋_GB2312" w:hAnsi="仿宋_GB2312" w:eastAsia="仿宋_GB2312" w:cs="仿宋_GB2312"/>
          <w:color w:val="auto"/>
          <w:sz w:val="32"/>
          <w:szCs w:val="32"/>
          <w:highlight w:val="none"/>
          <w:shd w:val="clear"/>
        </w:rPr>
        <w:t>花园城市</w:t>
      </w:r>
      <w:r>
        <w:rPr>
          <w:rFonts w:hint="eastAsia" w:ascii="仿宋_GB2312" w:hAnsi="仿宋_GB2312" w:eastAsia="仿宋_GB2312" w:cs="仿宋_GB2312"/>
          <w:color w:val="auto"/>
          <w:sz w:val="32"/>
          <w:szCs w:val="32"/>
          <w:highlight w:val="none"/>
          <w:shd w:val="clear"/>
          <w:lang w:eastAsia="zh-CN"/>
        </w:rPr>
        <w:t>、</w:t>
      </w:r>
      <w:r>
        <w:rPr>
          <w:rFonts w:hint="eastAsia" w:ascii="仿宋_GB2312" w:hAnsi="仿宋_GB2312" w:eastAsia="仿宋_GB2312" w:cs="仿宋_GB2312"/>
          <w:color w:val="auto"/>
          <w:sz w:val="32"/>
          <w:szCs w:val="32"/>
          <w:highlight w:val="none"/>
        </w:rPr>
        <w:t>忙畔片区保障性租赁住房</w:t>
      </w:r>
      <w:r>
        <w:rPr>
          <w:rFonts w:hint="eastAsia" w:ascii="仿宋_GB2312" w:hAnsi="仿宋_GB2312" w:eastAsia="仿宋_GB2312" w:cs="仿宋_GB2312"/>
          <w:color w:val="auto"/>
          <w:sz w:val="32"/>
          <w:szCs w:val="32"/>
          <w:highlight w:val="none"/>
          <w:lang w:val="en-US" w:eastAsia="zh-CN"/>
        </w:rPr>
        <w:t>等项目。</w:t>
      </w:r>
      <w:r>
        <w:rPr>
          <w:rFonts w:hint="eastAsia" w:ascii="仿宋_GB2312" w:hAnsi="仿宋_GB2312" w:eastAsia="仿宋_GB2312" w:cs="仿宋_GB2312"/>
          <w:b/>
          <w:bCs/>
          <w:color w:val="auto"/>
          <w:sz w:val="32"/>
          <w:szCs w:val="32"/>
          <w:highlight w:val="none"/>
          <w:lang w:val="en-US" w:eastAsia="zh-CN"/>
        </w:rPr>
        <w:t>房地产方面</w:t>
      </w:r>
      <w:r>
        <w:rPr>
          <w:rFonts w:hint="eastAsia" w:ascii="仿宋_GB2312" w:hAnsi="仿宋_GB2312" w:eastAsia="仿宋_GB2312" w:cs="仿宋_GB2312"/>
          <w:color w:val="auto"/>
          <w:sz w:val="32"/>
          <w:szCs w:val="32"/>
          <w:highlight w:val="none"/>
          <w:lang w:val="en-US" w:eastAsia="zh-CN"/>
        </w:rPr>
        <w:t>：加快推进佤山凤城、</w:t>
      </w:r>
      <w:r>
        <w:rPr>
          <w:rFonts w:hint="eastAsia" w:ascii="仿宋_GB2312" w:hAnsi="仿宋_GB2312" w:eastAsia="仿宋_GB2312" w:cs="仿宋_GB2312"/>
          <w:color w:val="auto"/>
          <w:sz w:val="32"/>
          <w:szCs w:val="32"/>
          <w:highlight w:val="none"/>
        </w:rPr>
        <w:t>中骏璟峰</w:t>
      </w:r>
      <w:r>
        <w:rPr>
          <w:rFonts w:hint="eastAsia" w:ascii="仿宋_GB2312" w:hAnsi="仿宋_GB2312" w:eastAsia="仿宋_GB2312" w:cs="仿宋_GB2312"/>
          <w:color w:val="auto"/>
          <w:sz w:val="32"/>
          <w:szCs w:val="32"/>
          <w:highlight w:val="none"/>
          <w:lang w:val="en-US" w:eastAsia="zh-CN"/>
        </w:rPr>
        <w:t>等项目建设。启动实施临沧旗山·沁园、高新首府等项目。</w:t>
      </w:r>
      <w:r>
        <w:rPr>
          <w:rFonts w:hint="eastAsia" w:ascii="仿宋_GB2312" w:hAnsi="仿宋_GB2312" w:eastAsia="仿宋_GB2312" w:cs="仿宋_GB2312"/>
          <w:b/>
          <w:bCs/>
          <w:color w:val="auto"/>
          <w:sz w:val="32"/>
          <w:szCs w:val="32"/>
          <w:highlight w:val="none"/>
          <w:lang w:val="en-US" w:eastAsia="zh-CN"/>
        </w:rPr>
        <w:t>社会事业方面</w:t>
      </w:r>
      <w:r>
        <w:rPr>
          <w:rFonts w:hint="eastAsia" w:ascii="仿宋_GB2312" w:hAnsi="仿宋_GB2312" w:eastAsia="仿宋_GB2312" w:cs="仿宋_GB2312"/>
          <w:color w:val="auto"/>
          <w:sz w:val="32"/>
          <w:szCs w:val="32"/>
          <w:highlight w:val="none"/>
          <w:lang w:val="en-US" w:eastAsia="zh-CN"/>
        </w:rPr>
        <w:t>：加快推进</w:t>
      </w:r>
      <w:r>
        <w:rPr>
          <w:rFonts w:hint="eastAsia" w:ascii="仿宋_GB2312" w:hAnsi="仿宋_GB2312" w:eastAsia="仿宋_GB2312" w:cs="仿宋_GB2312"/>
          <w:color w:val="auto"/>
          <w:sz w:val="32"/>
          <w:szCs w:val="32"/>
          <w:highlight w:val="none"/>
        </w:rPr>
        <w:t>亚微会展中心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第三中学普通高中</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第二人民医院</w:t>
      </w:r>
      <w:r>
        <w:rPr>
          <w:rFonts w:hint="eastAsia" w:ascii="仿宋_GB2312" w:hAnsi="仿宋_GB2312" w:eastAsia="仿宋_GB2312" w:cs="仿宋_GB2312"/>
          <w:color w:val="auto"/>
          <w:sz w:val="32"/>
          <w:szCs w:val="32"/>
          <w:highlight w:val="none"/>
          <w:lang w:val="en-US" w:eastAsia="zh-CN"/>
        </w:rPr>
        <w:t>等项目建设。启动实施</w:t>
      </w:r>
      <w:r>
        <w:rPr>
          <w:rFonts w:hint="eastAsia" w:ascii="仿宋_GB2312" w:hAnsi="仿宋_GB2312" w:eastAsia="仿宋_GB2312" w:cs="仿宋_GB2312"/>
          <w:color w:val="auto"/>
          <w:sz w:val="32"/>
          <w:szCs w:val="32"/>
          <w:lang w:val="en-US" w:eastAsia="zh-CN"/>
        </w:rPr>
        <w:t>智慧医共体、</w:t>
      </w:r>
      <w:r>
        <w:rPr>
          <w:rFonts w:hint="eastAsia" w:ascii="仿宋_GB2312" w:hAnsi="仿宋_GB2312" w:eastAsia="仿宋_GB2312" w:cs="仿宋_GB2312"/>
          <w:color w:val="auto"/>
          <w:sz w:val="32"/>
          <w:szCs w:val="32"/>
        </w:rPr>
        <w:t>医院综合能力提升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临沧职业学院</w:t>
      </w:r>
      <w:r>
        <w:rPr>
          <w:rFonts w:hint="eastAsia" w:ascii="仿宋_GB2312" w:hAnsi="仿宋_GB2312" w:eastAsia="仿宋_GB2312" w:cs="仿宋_GB2312"/>
          <w:color w:val="auto"/>
          <w:sz w:val="32"/>
          <w:szCs w:val="32"/>
          <w:lang w:val="en-US" w:eastAsia="zh-CN"/>
        </w:rPr>
        <w:t>等项目</w:t>
      </w:r>
      <w:r>
        <w:rPr>
          <w:rFonts w:hint="eastAsia" w:ascii="仿宋_GB2312" w:hAnsi="仿宋_GB2312" w:eastAsia="仿宋_GB2312" w:cs="仿宋_GB2312"/>
          <w:b/>
          <w:bCs/>
          <w:color w:val="auto"/>
          <w:sz w:val="32"/>
          <w:szCs w:val="32"/>
          <w:highlight w:val="none"/>
          <w:lang w:val="en-US" w:eastAsia="zh-CN"/>
        </w:rPr>
        <w:t>。产业发展方面</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加快推进2021年</w:t>
      </w:r>
      <w:r>
        <w:rPr>
          <w:rFonts w:hint="eastAsia" w:ascii="仿宋_GB2312" w:hAnsi="仿宋_GB2312" w:eastAsia="仿宋_GB2312" w:cs="仿宋_GB2312"/>
          <w:color w:val="auto"/>
          <w:sz w:val="32"/>
          <w:szCs w:val="32"/>
          <w:highlight w:val="none"/>
        </w:rPr>
        <w:t>高标准农田</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color w:val="auto"/>
          <w:sz w:val="32"/>
          <w:szCs w:val="32"/>
          <w:highlight w:val="none"/>
        </w:rPr>
        <w:t>农村产业融合发展示范园</w:t>
      </w:r>
      <w:r>
        <w:rPr>
          <w:rFonts w:hint="eastAsia" w:ascii="仿宋_GB2312" w:hAnsi="仿宋_GB2312" w:eastAsia="仿宋_GB2312" w:cs="仿宋_GB2312"/>
          <w:b w:val="0"/>
          <w:bCs w:val="0"/>
          <w:color w:val="auto"/>
          <w:sz w:val="32"/>
          <w:szCs w:val="32"/>
          <w:highlight w:val="none"/>
          <w:lang w:val="en-US" w:eastAsia="zh-CN"/>
        </w:rPr>
        <w:t>等项目建设。启动实施</w:t>
      </w:r>
      <w:r>
        <w:rPr>
          <w:rFonts w:hint="eastAsia" w:ascii="仿宋_GB2312" w:hAnsi="仿宋_GB2312" w:eastAsia="仿宋_GB2312" w:cs="仿宋_GB2312"/>
          <w:color w:val="auto"/>
          <w:sz w:val="32"/>
          <w:szCs w:val="32"/>
          <w:highlight w:val="none"/>
          <w:lang w:eastAsia="zh-CN"/>
        </w:rPr>
        <w:t>滇西生物特色（加工）产业园区二期、</w:t>
      </w:r>
      <w:r>
        <w:rPr>
          <w:rFonts w:hint="eastAsia" w:ascii="仿宋_GB2312" w:hAnsi="仿宋_GB2312" w:eastAsia="仿宋_GB2312" w:cs="仿宋_GB2312"/>
          <w:b w:val="0"/>
          <w:bCs w:val="0"/>
          <w:color w:val="auto"/>
          <w:sz w:val="32"/>
          <w:szCs w:val="32"/>
          <w:highlight w:val="none"/>
          <w:lang w:val="en-US" w:eastAsia="zh-CN"/>
        </w:rPr>
        <w:t>2022年高标准农田、</w:t>
      </w:r>
      <w:r>
        <w:rPr>
          <w:rFonts w:hint="eastAsia" w:ascii="仿宋_GB2312" w:hAnsi="仿宋_GB2312" w:eastAsia="仿宋_GB2312" w:cs="仿宋_GB2312"/>
          <w:color w:val="auto"/>
          <w:sz w:val="32"/>
          <w:szCs w:val="32"/>
          <w:highlight w:val="none"/>
        </w:rPr>
        <w:t>林下有机三七种植</w:t>
      </w:r>
      <w:r>
        <w:rPr>
          <w:rFonts w:hint="eastAsia" w:ascii="仿宋_GB2312" w:hAnsi="仿宋_GB2312" w:eastAsia="仿宋_GB2312" w:cs="仿宋_GB2312"/>
          <w:color w:val="auto"/>
          <w:sz w:val="32"/>
          <w:szCs w:val="32"/>
          <w:highlight w:val="none"/>
          <w:lang w:val="en-US" w:eastAsia="zh-CN"/>
        </w:rPr>
        <w:t>等项目。力争建筑安装工程投资增长5%以上；产业投资占比达18%以上；民间投资占比达20%以上。</w:t>
      </w:r>
    </w:p>
    <w:p>
      <w:pPr>
        <w:keepNext w:val="0"/>
        <w:keepLines w:val="0"/>
        <w:pageBreakBefore w:val="0"/>
        <w:widowControl w:val="0"/>
        <w:numPr>
          <w:ilvl w:val="-1"/>
          <w:numId w:val="0"/>
        </w:numPr>
        <w:pBdr>
          <w:bottom w:val="single" w:color="FFFFFF" w:sz="4" w:space="28"/>
        </w:pBdr>
        <w:shd w:val="clear"/>
        <w:kinsoku/>
        <w:wordWrap/>
        <w:overflowPunct/>
        <w:topLinePunct w:val="0"/>
        <w:autoSpaceDE/>
        <w:autoSpaceDN/>
        <w:bidi w:val="0"/>
        <w:adjustRightInd/>
        <w:snapToGrid/>
        <w:spacing w:line="560" w:lineRule="exact"/>
        <w:ind w:left="0" w:leftChars="0" w:right="0" w:rightChars="0" w:firstLine="643" w:firstLineChars="200"/>
        <w:jc w:val="both"/>
        <w:textAlignment w:val="baseline"/>
        <w:outlineLvl w:val="9"/>
        <w:rPr>
          <w:rFonts w:hint="eastAsia" w:ascii="仿宋_GB2312" w:hAnsi="仿宋_GB2312" w:eastAsia="仿宋_GB2312" w:cs="仿宋_GB2312"/>
          <w:b/>
          <w:bCs/>
          <w:color w:val="auto"/>
          <w:sz w:val="32"/>
          <w:szCs w:val="32"/>
          <w:highlight w:val="none"/>
          <w:shd w:val="clear"/>
          <w:lang w:val="en-US" w:eastAsia="zh-CN"/>
        </w:rPr>
      </w:pPr>
      <w:r>
        <w:rPr>
          <w:rFonts w:hint="eastAsia" w:ascii="楷体_GB2312" w:hAnsi="楷体_GB2312" w:eastAsia="楷体_GB2312" w:cs="楷体_GB2312"/>
          <w:b/>
          <w:bCs/>
          <w:color w:val="auto"/>
          <w:kern w:val="0"/>
          <w:sz w:val="32"/>
          <w:szCs w:val="32"/>
          <w:highlight w:val="none"/>
          <w:lang w:val="en-US" w:eastAsia="zh-CN" w:bidi="ar"/>
        </w:rPr>
        <w:t>（三）</w:t>
      </w:r>
      <w:r>
        <w:rPr>
          <w:rFonts w:hint="eastAsia" w:ascii="楷体_GB2312" w:hAnsi="楷体_GB2312" w:eastAsia="楷体_GB2312" w:cs="楷体_GB2312"/>
          <w:b/>
          <w:bCs/>
          <w:color w:val="auto"/>
          <w:kern w:val="0"/>
          <w:sz w:val="32"/>
          <w:szCs w:val="32"/>
          <w:highlight w:val="none"/>
          <w:shd w:val="clear"/>
          <w:lang w:val="en-US" w:eastAsia="zh-CN" w:bidi="ar"/>
        </w:rPr>
        <w:t>加快构建现代产业体系。</w:t>
      </w:r>
      <w:r>
        <w:rPr>
          <w:rFonts w:hint="eastAsia" w:ascii="仿宋_GB2312" w:hAnsi="仿宋_GB2312" w:eastAsia="仿宋_GB2312" w:cs="仿宋_GB2312"/>
          <w:b/>
          <w:bCs/>
          <w:color w:val="auto"/>
          <w:sz w:val="32"/>
          <w:szCs w:val="32"/>
          <w:highlight w:val="none"/>
          <w:shd w:val="clear"/>
          <w:lang w:val="en-US" w:eastAsia="zh-CN"/>
        </w:rPr>
        <w:t>一要</w:t>
      </w:r>
      <w:r>
        <w:rPr>
          <w:rFonts w:hint="eastAsia" w:ascii="仿宋_GB2312" w:hAnsi="仿宋_GB2312" w:eastAsia="仿宋_GB2312" w:cs="仿宋_GB2312"/>
          <w:b/>
          <w:bCs/>
          <w:color w:val="auto"/>
          <w:kern w:val="2"/>
          <w:sz w:val="32"/>
          <w:szCs w:val="32"/>
          <w:highlight w:val="none"/>
          <w:shd w:val="clear"/>
          <w:lang w:val="en-US" w:eastAsia="zh-CN" w:bidi="ar-SA"/>
        </w:rPr>
        <w:t>推进现代农业产业发展。</w:t>
      </w:r>
      <w:r>
        <w:rPr>
          <w:rFonts w:hint="eastAsia" w:ascii="仿宋_GB2312" w:hAnsi="仿宋_GB2312" w:eastAsia="仿宋_GB2312" w:cs="仿宋_GB2312"/>
          <w:b w:val="0"/>
          <w:bCs w:val="0"/>
          <w:color w:val="auto"/>
          <w:kern w:val="2"/>
          <w:sz w:val="32"/>
          <w:szCs w:val="32"/>
          <w:highlight w:val="none"/>
          <w:shd w:val="clear"/>
          <w:lang w:val="en-US" w:eastAsia="zh-CN" w:bidi="ar-SA"/>
        </w:rPr>
        <w:t>持续加大现代农民培训力度，提高农民种养殖技术和市场销售水平，促进农民增收。全年开展现代农民培训12期，受训6.59万户。</w:t>
      </w:r>
      <w:r>
        <w:rPr>
          <w:rFonts w:hint="eastAsia" w:ascii="仿宋_GB2312" w:hAnsi="仿宋_GB2312" w:eastAsia="仿宋_GB2312" w:cs="仿宋_GB2312"/>
          <w:b/>
          <w:bCs/>
          <w:color w:val="auto"/>
          <w:kern w:val="2"/>
          <w:sz w:val="32"/>
          <w:szCs w:val="32"/>
          <w:highlight w:val="none"/>
          <w:shd w:val="clear"/>
          <w:lang w:val="en-US" w:eastAsia="zh-CN" w:bidi="ar-SA"/>
        </w:rPr>
        <w:t>培育打造“绿色能源牌”</w:t>
      </w:r>
      <w:r>
        <w:rPr>
          <w:rFonts w:hint="eastAsia" w:ascii="仿宋_GB2312" w:hAnsi="仿宋_GB2312" w:eastAsia="仿宋_GB2312" w:cs="仿宋_GB2312"/>
          <w:b w:val="0"/>
          <w:bCs w:val="0"/>
          <w:color w:val="auto"/>
          <w:kern w:val="2"/>
          <w:sz w:val="32"/>
          <w:szCs w:val="32"/>
          <w:highlight w:val="none"/>
          <w:shd w:val="clear"/>
          <w:lang w:val="en-US" w:eastAsia="zh-CN" w:bidi="ar-SA"/>
        </w:rPr>
        <w:t>。</w:t>
      </w:r>
      <w:r>
        <w:rPr>
          <w:rFonts w:hint="eastAsia" w:ascii="仿宋_GB2312" w:hAnsi="仿宋_GB2312" w:eastAsia="仿宋_GB2312" w:cs="仿宋_GB2312"/>
          <w:color w:val="auto"/>
          <w:sz w:val="32"/>
          <w:szCs w:val="32"/>
        </w:rPr>
        <w:t>培育以锗、高岭土、有机硅等为代表的</w:t>
      </w:r>
      <w:bookmarkStart w:id="0" w:name="OLE_LINK20"/>
      <w:bookmarkStart w:id="1" w:name="OLE_LINK19"/>
      <w:r>
        <w:rPr>
          <w:rFonts w:hint="eastAsia" w:ascii="仿宋_GB2312" w:hAnsi="仿宋_GB2312" w:eastAsia="仿宋_GB2312" w:cs="仿宋_GB2312"/>
          <w:color w:val="auto"/>
          <w:sz w:val="32"/>
          <w:szCs w:val="32"/>
        </w:rPr>
        <w:t>载能</w:t>
      </w:r>
      <w:bookmarkEnd w:id="0"/>
      <w:r>
        <w:rPr>
          <w:rFonts w:hint="eastAsia" w:ascii="仿宋_GB2312" w:hAnsi="仿宋_GB2312" w:eastAsia="仿宋_GB2312" w:cs="仿宋_GB2312"/>
          <w:color w:val="auto"/>
          <w:sz w:val="32"/>
          <w:szCs w:val="32"/>
        </w:rPr>
        <w:t>新材料产业</w:t>
      </w:r>
      <w:bookmarkEnd w:id="1"/>
      <w:r>
        <w:rPr>
          <w:rFonts w:hint="eastAsia" w:ascii="仿宋_GB2312" w:hAnsi="仿宋_GB2312" w:eastAsia="仿宋_GB2312" w:cs="仿宋_GB2312"/>
          <w:color w:val="auto"/>
          <w:sz w:val="32"/>
          <w:szCs w:val="32"/>
        </w:rPr>
        <w:t>，推进绿色能源与绿色制造深度融合。</w:t>
      </w:r>
      <w:r>
        <w:rPr>
          <w:rFonts w:hint="eastAsia" w:ascii="仿宋_GB2312" w:hAnsi="仿宋_GB2312" w:eastAsia="仿宋_GB2312" w:cs="仿宋_GB2312"/>
          <w:color w:val="auto"/>
          <w:sz w:val="32"/>
          <w:szCs w:val="32"/>
          <w:lang w:val="en-US" w:eastAsia="zh-CN"/>
        </w:rPr>
        <w:t>启动</w:t>
      </w:r>
      <w:r>
        <w:rPr>
          <w:rFonts w:hint="eastAsia" w:ascii="仿宋_GB2312" w:hAnsi="仿宋_GB2312" w:eastAsia="仿宋_GB2312" w:cs="仿宋_GB2312"/>
          <w:color w:val="auto"/>
          <w:sz w:val="32"/>
          <w:szCs w:val="32"/>
        </w:rPr>
        <w:t>实施天然气管道临沧支线（二期）</w:t>
      </w:r>
      <w:r>
        <w:rPr>
          <w:rFonts w:hint="eastAsia" w:ascii="仿宋_GB2312" w:hAnsi="仿宋_GB2312" w:eastAsia="仿宋_GB2312" w:cs="仿宋_GB2312"/>
          <w:color w:val="auto"/>
          <w:sz w:val="32"/>
          <w:szCs w:val="32"/>
          <w:lang w:val="en-US" w:eastAsia="zh-CN"/>
        </w:rPr>
        <w:t>建设，</w:t>
      </w:r>
      <w:r>
        <w:rPr>
          <w:rFonts w:hint="eastAsia" w:ascii="仿宋_GB2312" w:hAnsi="仿宋_GB2312" w:eastAsia="仿宋_GB2312" w:cs="仿宋_GB2312"/>
          <w:color w:val="auto"/>
          <w:sz w:val="32"/>
          <w:szCs w:val="32"/>
        </w:rPr>
        <w:t>开工建设5个集中式光伏发电</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rPr>
        <w:t>10千瓦的分布式光伏发电项目，年内完成投资</w:t>
      </w:r>
      <w:r>
        <w:rPr>
          <w:rFonts w:hint="eastAsia" w:ascii="仿宋_GB2312" w:hAnsi="仿宋_GB2312" w:eastAsia="仿宋_GB2312" w:cs="仿宋_GB2312"/>
          <w:color w:val="auto"/>
          <w:sz w:val="32"/>
          <w:szCs w:val="32"/>
          <w:lang w:eastAsia="zh-CN"/>
        </w:rPr>
        <w:t>5</w:t>
      </w:r>
      <w:r>
        <w:rPr>
          <w:rFonts w:hint="eastAsia" w:ascii="仿宋_GB2312" w:hAnsi="仿宋_GB2312" w:eastAsia="仿宋_GB2312" w:cs="仿宋_GB2312"/>
          <w:color w:val="auto"/>
          <w:sz w:val="32"/>
          <w:szCs w:val="32"/>
          <w:lang w:val="en-US" w:eastAsia="zh-CN"/>
        </w:rPr>
        <w:t>亿</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持续推广新能源汽车，建成充电桩</w:t>
      </w:r>
      <w:r>
        <w:rPr>
          <w:rFonts w:hint="eastAsia" w:ascii="仿宋_GB2312" w:hAnsi="仿宋_GB2312" w:eastAsia="仿宋_GB2312" w:cs="仿宋_GB2312"/>
          <w:color w:val="auto"/>
          <w:sz w:val="32"/>
          <w:szCs w:val="32"/>
          <w:lang w:val="en-US" w:eastAsia="zh-CN"/>
        </w:rPr>
        <w:t>300个以上。</w:t>
      </w:r>
      <w:r>
        <w:rPr>
          <w:rFonts w:hint="eastAsia" w:ascii="仿宋_GB2312" w:hAnsi="仿宋_GB2312" w:eastAsia="仿宋_GB2312" w:cs="仿宋_GB2312"/>
          <w:color w:val="auto"/>
          <w:sz w:val="32"/>
          <w:szCs w:val="32"/>
        </w:rPr>
        <w:t>加强章驮3万千瓦集中式、1.7万千瓦村级光伏扶贫电站的管理和综合利用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kern w:val="2"/>
          <w:sz w:val="32"/>
          <w:szCs w:val="32"/>
          <w:shd w:val="clear"/>
          <w:lang w:val="en-US" w:eastAsia="zh-CN" w:bidi="ar-SA"/>
        </w:rPr>
        <w:t>全社会用电量</w:t>
      </w:r>
      <w:r>
        <w:rPr>
          <w:rFonts w:hint="eastAsia" w:ascii="仿宋_GB2312" w:hAnsi="仿宋_GB2312" w:eastAsia="仿宋_GB2312" w:cs="仿宋_GB2312"/>
          <w:color w:val="auto"/>
          <w:sz w:val="32"/>
          <w:szCs w:val="32"/>
          <w:shd w:val="clear"/>
          <w:lang w:val="en-US" w:eastAsia="zh-CN"/>
        </w:rPr>
        <w:t>增长6.5%以上。</w:t>
      </w:r>
      <w:r>
        <w:rPr>
          <w:rFonts w:hint="eastAsia" w:ascii="仿宋_GB2312" w:hAnsi="仿宋_GB2312" w:eastAsia="仿宋_GB2312" w:cs="仿宋_GB2312"/>
          <w:b/>
          <w:bCs/>
          <w:color w:val="auto"/>
          <w:sz w:val="32"/>
          <w:szCs w:val="32"/>
          <w:highlight w:val="none"/>
          <w:shd w:val="clear"/>
          <w:lang w:val="en-US" w:eastAsia="zh-CN"/>
        </w:rPr>
        <w:t>培育打造“绿色食品牌”</w:t>
      </w:r>
      <w:r>
        <w:rPr>
          <w:rFonts w:hint="eastAsia" w:ascii="仿宋_GB2312" w:hAnsi="仿宋_GB2312" w:eastAsia="仿宋_GB2312" w:cs="仿宋_GB2312"/>
          <w:color w:val="auto"/>
          <w:sz w:val="32"/>
          <w:szCs w:val="32"/>
          <w:highlight w:val="none"/>
          <w:shd w:val="clear"/>
          <w:lang w:val="en-US" w:eastAsia="zh-CN"/>
        </w:rPr>
        <w:t>。</w:t>
      </w:r>
      <w:r>
        <w:rPr>
          <w:rFonts w:hint="eastAsia" w:ascii="仿宋_GB2312" w:hAnsi="仿宋_GB2312" w:eastAsia="仿宋_GB2312" w:cs="仿宋_GB2312"/>
          <w:color w:val="auto"/>
          <w:sz w:val="32"/>
          <w:szCs w:val="32"/>
          <w:highlight w:val="none"/>
        </w:rPr>
        <w:t>聚焦“糖、茶、果、菜、牛”优势产业，推动农产品深加工向优势产区和园区集中布局，把临翔建成云南绿色食品重要产区。</w:t>
      </w:r>
      <w:r>
        <w:rPr>
          <w:rFonts w:hint="eastAsia" w:ascii="仿宋_GB2312" w:hAnsi="仿宋_GB2312" w:eastAsia="仿宋_GB2312" w:cs="仿宋_GB2312"/>
          <w:b w:val="0"/>
          <w:bCs w:val="0"/>
          <w:color w:val="auto"/>
          <w:sz w:val="32"/>
          <w:szCs w:val="32"/>
          <w:highlight w:val="none"/>
          <w:shd w:val="clear"/>
          <w:lang w:val="en-US" w:eastAsia="zh-CN"/>
        </w:rPr>
        <w:t>打造世界一流茶产业</w:t>
      </w:r>
      <w:r>
        <w:rPr>
          <w:rFonts w:hint="eastAsia" w:ascii="仿宋_GB2312" w:hAnsi="仿宋_GB2312" w:eastAsia="仿宋_GB2312" w:cs="仿宋_GB2312"/>
          <w:color w:val="auto"/>
          <w:sz w:val="32"/>
          <w:szCs w:val="32"/>
          <w:highlight w:val="none"/>
          <w:shd w:val="clear"/>
          <w:lang w:val="en-US" w:eastAsia="zh-CN"/>
        </w:rPr>
        <w:t>：开展地理标志认证，把邦东昔归、马台岩茶、南美坡脚茶等区域“小山头”打造成中国“大地标”；加强古茶树资源保护，推进绿色有机发展；加快茶叶交易中心建设，全面推进茶叶初制所规范达标。全年综合产值达37亿元以上。</w:t>
      </w:r>
      <w:r>
        <w:rPr>
          <w:rFonts w:hint="eastAsia" w:ascii="仿宋_GB2312" w:hAnsi="仿宋_GB2312" w:eastAsia="仿宋_GB2312" w:cs="仿宋_GB2312"/>
          <w:b w:val="0"/>
          <w:bCs w:val="0"/>
          <w:color w:val="auto"/>
          <w:sz w:val="32"/>
          <w:szCs w:val="32"/>
          <w:highlight w:val="none"/>
          <w:shd w:val="clear"/>
          <w:lang w:val="en-US" w:eastAsia="zh-CN"/>
        </w:rPr>
        <w:t>打造坚果（核桃+坚果）之乡</w:t>
      </w:r>
      <w:r>
        <w:rPr>
          <w:rFonts w:hint="eastAsia" w:ascii="仿宋_GB2312" w:hAnsi="仿宋_GB2312" w:eastAsia="仿宋_GB2312" w:cs="仿宋_GB2312"/>
          <w:color w:val="auto"/>
          <w:sz w:val="32"/>
          <w:szCs w:val="32"/>
          <w:highlight w:val="none"/>
          <w:shd w:val="clear"/>
          <w:lang w:val="en-US" w:eastAsia="zh-CN"/>
        </w:rPr>
        <w:t>：</w:t>
      </w:r>
      <w:r>
        <w:rPr>
          <w:rFonts w:hint="eastAsia" w:ascii="仿宋_GB2312" w:hAnsi="仿宋_GB2312" w:eastAsia="仿宋_GB2312" w:cs="仿宋_GB2312"/>
          <w:color w:val="auto"/>
          <w:sz w:val="32"/>
          <w:szCs w:val="32"/>
          <w:highlight w:val="none"/>
        </w:rPr>
        <w:t>开展基地和生产企业绿色认证、森林认证、有机认证。支持企业开展技术创新，加大核桃、临沧坚果的青皮、果壳、果仁以及相关延伸产品的科技攻关、产品研发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推动坚果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核桃</w:t>
      </w:r>
      <w:r>
        <w:rPr>
          <w:rFonts w:hint="eastAsia" w:ascii="仿宋_GB2312" w:hAnsi="仿宋_GB2312" w:eastAsia="仿宋_GB2312" w:cs="仿宋_GB2312"/>
          <w:color w:val="auto"/>
          <w:sz w:val="32"/>
          <w:szCs w:val="32"/>
          <w:highlight w:val="none"/>
        </w:rPr>
        <w:t>产业全产业链发展。</w:t>
      </w:r>
      <w:r>
        <w:rPr>
          <w:rFonts w:hint="eastAsia" w:ascii="仿宋_GB2312" w:hAnsi="仿宋_GB2312" w:eastAsia="仿宋_GB2312" w:cs="仿宋_GB2312"/>
          <w:color w:val="auto"/>
          <w:sz w:val="32"/>
          <w:szCs w:val="32"/>
          <w:highlight w:val="none"/>
          <w:shd w:val="clear"/>
          <w:lang w:val="en-US" w:eastAsia="zh-CN"/>
        </w:rPr>
        <w:t>全年综合产值达6亿元以上。</w:t>
      </w:r>
      <w:r>
        <w:rPr>
          <w:rFonts w:hint="eastAsia" w:ascii="仿宋_GB2312" w:hAnsi="仿宋_GB2312" w:eastAsia="仿宋_GB2312" w:cs="仿宋_GB2312"/>
          <w:b w:val="0"/>
          <w:bCs w:val="0"/>
          <w:color w:val="auto"/>
          <w:sz w:val="32"/>
          <w:szCs w:val="32"/>
          <w:highlight w:val="none"/>
          <w:shd w:val="clear"/>
          <w:lang w:val="en-US" w:eastAsia="zh-CN"/>
        </w:rPr>
        <w:t>打造冬春蔬菜重要产区</w:t>
      </w:r>
      <w:r>
        <w:rPr>
          <w:rFonts w:hint="eastAsia" w:ascii="仿宋_GB2312" w:hAnsi="仿宋_GB2312" w:eastAsia="仿宋_GB2312" w:cs="仿宋_GB2312"/>
          <w:color w:val="auto"/>
          <w:sz w:val="32"/>
          <w:szCs w:val="32"/>
          <w:highlight w:val="none"/>
          <w:shd w:val="clear"/>
          <w:lang w:val="en-US" w:eastAsia="zh-CN"/>
        </w:rPr>
        <w:t>：以圈内、博尚、凤翔、马台、蚂蚁堆、章驮为重点区域，布局3万亩冬春蔬菜产业带，全年综合产值达1.4亿元以上。</w:t>
      </w:r>
      <w:r>
        <w:rPr>
          <w:rFonts w:hint="eastAsia" w:ascii="仿宋_GB2312" w:hAnsi="仿宋_GB2312" w:eastAsia="仿宋_GB2312" w:cs="仿宋_GB2312"/>
          <w:b w:val="0"/>
          <w:bCs w:val="0"/>
          <w:color w:val="auto"/>
          <w:sz w:val="32"/>
          <w:szCs w:val="32"/>
          <w:highlight w:val="none"/>
          <w:shd w:val="clear"/>
          <w:lang w:val="en-US" w:eastAsia="zh-CN"/>
        </w:rPr>
        <w:t>打造绿色生态畜牧产业：</w:t>
      </w:r>
      <w:r>
        <w:rPr>
          <w:rFonts w:hint="eastAsia" w:ascii="仿宋_GB2312" w:hAnsi="仿宋_GB2312" w:eastAsia="仿宋_GB2312" w:cs="仿宋_GB2312"/>
          <w:color w:val="auto"/>
          <w:sz w:val="32"/>
          <w:szCs w:val="32"/>
          <w:highlight w:val="none"/>
        </w:rPr>
        <w:t>着力推进肉牛标准化养殖，加快推进肉牛产业标准化、规模化基地建设</w:t>
      </w:r>
      <w:r>
        <w:rPr>
          <w:rFonts w:hint="eastAsia" w:ascii="仿宋_GB2312" w:hAnsi="仿宋_GB2312" w:eastAsia="仿宋_GB2312" w:cs="仿宋_GB2312"/>
          <w:color w:val="auto"/>
          <w:sz w:val="32"/>
          <w:szCs w:val="32"/>
          <w:highlight w:val="none"/>
          <w:shd w:val="clear"/>
          <w:lang w:val="en-US" w:eastAsia="zh-CN"/>
        </w:rPr>
        <w:t>，</w:t>
      </w:r>
      <w:r>
        <w:rPr>
          <w:rFonts w:hint="eastAsia" w:ascii="仿宋_GB2312" w:hAnsi="仿宋_GB2312" w:eastAsia="仿宋_GB2312" w:cs="仿宋_GB2312"/>
          <w:color w:val="auto"/>
          <w:sz w:val="32"/>
          <w:szCs w:val="32"/>
          <w:highlight w:val="none"/>
        </w:rPr>
        <w:t>把临翔建设成全国重要的肉牛及产品生产基地。大力发展生猪生产和山地黑肉鸡养殖</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积极引进、培育畜禽加工龙头企业，</w:t>
      </w:r>
      <w:r>
        <w:rPr>
          <w:rFonts w:hint="eastAsia" w:ascii="仿宋_GB2312" w:hAnsi="仿宋_GB2312" w:eastAsia="仿宋_GB2312" w:cs="仿宋_GB2312"/>
          <w:color w:val="auto"/>
          <w:sz w:val="32"/>
          <w:szCs w:val="32"/>
          <w:highlight w:val="none"/>
          <w:lang w:val="en-US" w:eastAsia="zh-CN"/>
        </w:rPr>
        <w:t>打造</w:t>
      </w:r>
      <w:r>
        <w:rPr>
          <w:rFonts w:hint="eastAsia" w:ascii="仿宋_GB2312" w:hAnsi="仿宋_GB2312" w:eastAsia="仿宋_GB2312" w:cs="仿宋_GB2312"/>
          <w:color w:val="auto"/>
          <w:sz w:val="32"/>
          <w:szCs w:val="32"/>
          <w:highlight w:val="none"/>
        </w:rPr>
        <w:t>“临翔生态牛肉”、“临翔土猪”</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“临翔黑肉鸡”品牌。</w:t>
      </w:r>
      <w:r>
        <w:rPr>
          <w:rFonts w:hint="eastAsia" w:ascii="仿宋_GB2312" w:hAnsi="仿宋_GB2312" w:eastAsia="仿宋_GB2312" w:cs="仿宋_GB2312"/>
          <w:color w:val="auto"/>
          <w:sz w:val="32"/>
          <w:szCs w:val="32"/>
          <w:highlight w:val="none"/>
          <w:shd w:val="clear"/>
          <w:lang w:val="en-US" w:eastAsia="zh-CN"/>
        </w:rPr>
        <w:t>全年畜牧业综合产值达12.32亿元以上。</w:t>
      </w:r>
      <w:r>
        <w:rPr>
          <w:rFonts w:hint="eastAsia" w:ascii="仿宋_GB2312" w:hAnsi="仿宋_GB2312" w:eastAsia="仿宋_GB2312" w:cs="仿宋_GB2312"/>
          <w:b/>
          <w:bCs/>
          <w:color w:val="auto"/>
          <w:sz w:val="32"/>
          <w:szCs w:val="32"/>
          <w:highlight w:val="none"/>
          <w:shd w:val="clear"/>
          <w:lang w:val="en-US" w:eastAsia="zh-CN"/>
        </w:rPr>
        <w:t>培育打造“健康生活目的地牌”</w:t>
      </w:r>
      <w:r>
        <w:rPr>
          <w:rFonts w:hint="eastAsia" w:ascii="仿宋_GB2312" w:hAnsi="仿宋_GB2312" w:eastAsia="仿宋_GB2312" w:cs="仿宋_GB2312"/>
          <w:color w:val="auto"/>
          <w:sz w:val="32"/>
          <w:szCs w:val="32"/>
          <w:highlight w:val="none"/>
          <w:shd w:val="clear"/>
          <w:lang w:val="en-US" w:eastAsia="zh-CN"/>
        </w:rPr>
        <w:t>。</w:t>
      </w:r>
      <w:r>
        <w:rPr>
          <w:rFonts w:hint="eastAsia" w:ascii="仿宋_GB2312" w:hAnsi="仿宋_GB2312" w:eastAsia="仿宋_GB2312" w:cs="仿宋_GB2312"/>
          <w:color w:val="auto"/>
          <w:sz w:val="32"/>
          <w:szCs w:val="32"/>
          <w:highlight w:val="none"/>
          <w:shd w:val="clear"/>
        </w:rPr>
        <w:t>主动融入大滇西旅游环线，</w:t>
      </w:r>
      <w:r>
        <w:rPr>
          <w:rFonts w:hint="eastAsia" w:ascii="仿宋_GB2312" w:hAnsi="仿宋_GB2312" w:eastAsia="仿宋_GB2312" w:cs="仿宋_GB2312"/>
          <w:i w:val="0"/>
          <w:iCs w:val="0"/>
          <w:caps w:val="0"/>
          <w:color w:val="auto"/>
          <w:spacing w:val="0"/>
          <w:sz w:val="32"/>
          <w:szCs w:val="32"/>
          <w:highlight w:val="none"/>
          <w:shd w:val="clear"/>
          <w:lang w:val="en-US" w:eastAsia="zh-CN"/>
        </w:rPr>
        <w:t>优化“一部手机游云南”应用</w:t>
      </w:r>
      <w:r>
        <w:rPr>
          <w:rFonts w:hint="eastAsia" w:ascii="仿宋_GB2312" w:hAnsi="仿宋_GB2312" w:eastAsia="仿宋_GB2312" w:cs="仿宋_GB2312"/>
          <w:i w:val="0"/>
          <w:iCs w:val="0"/>
          <w:caps w:val="0"/>
          <w:color w:val="auto"/>
          <w:spacing w:val="0"/>
          <w:sz w:val="32"/>
          <w:szCs w:val="32"/>
          <w:highlight w:val="none"/>
          <w:shd w:val="clear"/>
        </w:rPr>
        <w:t>，以乡村旅游为突破口，积极探索“旅游+农业、工业、文化、生态、康养”等乡村旅游模式</w:t>
      </w:r>
      <w:r>
        <w:rPr>
          <w:rFonts w:hint="eastAsia" w:ascii="仿宋_GB2312" w:hAnsi="仿宋_GB2312" w:eastAsia="仿宋_GB2312" w:cs="仿宋_GB2312"/>
          <w:color w:val="auto"/>
          <w:sz w:val="32"/>
          <w:szCs w:val="32"/>
          <w:highlight w:val="none"/>
          <w:shd w:val="clear"/>
          <w:lang w:val="en-US" w:eastAsia="zh-CN"/>
        </w:rPr>
        <w:t>。</w:t>
      </w:r>
      <w:r>
        <w:rPr>
          <w:rFonts w:hint="eastAsia" w:ascii="仿宋_GB2312" w:hAnsi="仿宋_GB2312" w:eastAsia="仿宋_GB2312" w:cs="仿宋_GB2312"/>
          <w:color w:val="auto"/>
          <w:sz w:val="32"/>
          <w:szCs w:val="32"/>
          <w:highlight w:val="none"/>
          <w:shd w:val="clear"/>
        </w:rPr>
        <w:t>加快</w:t>
      </w:r>
      <w:r>
        <w:rPr>
          <w:rFonts w:hint="eastAsia" w:ascii="仿宋_GB2312" w:hAnsi="仿宋_GB2312" w:eastAsia="仿宋_GB2312" w:cs="仿宋_GB2312"/>
          <w:color w:val="auto"/>
          <w:sz w:val="32"/>
          <w:szCs w:val="32"/>
          <w:highlight w:val="none"/>
          <w:shd w:val="clear"/>
          <w:lang w:eastAsia="zh-CN"/>
        </w:rPr>
        <w:t>推进</w:t>
      </w:r>
      <w:r>
        <w:rPr>
          <w:rFonts w:hint="eastAsia" w:ascii="仿宋_GB2312" w:hAnsi="仿宋_GB2312" w:eastAsia="仿宋_GB2312" w:cs="仿宋_GB2312"/>
          <w:color w:val="auto"/>
          <w:sz w:val="32"/>
          <w:szCs w:val="32"/>
          <w:highlight w:val="none"/>
        </w:rPr>
        <w:t>昔归山水旅游度假村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碗窑土陶文化旅游</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腾龙诗云</w:t>
      </w:r>
      <w:r>
        <w:rPr>
          <w:rFonts w:hint="eastAsia" w:ascii="仿宋_GB2312" w:hAnsi="仿宋_GB2312" w:eastAsia="仿宋_GB2312" w:cs="仿宋_GB2312"/>
          <w:color w:val="auto"/>
          <w:sz w:val="32"/>
          <w:szCs w:val="32"/>
          <w:highlight w:val="none"/>
          <w:lang w:val="en-US" w:eastAsia="zh-CN"/>
        </w:rPr>
        <w:t>等项目建设。启动实施</w:t>
      </w:r>
      <w:r>
        <w:rPr>
          <w:rFonts w:hint="eastAsia" w:ascii="仿宋_GB2312" w:hAnsi="仿宋_GB2312" w:eastAsia="仿宋_GB2312" w:cs="仿宋_GB2312"/>
          <w:color w:val="auto"/>
          <w:sz w:val="32"/>
          <w:szCs w:val="32"/>
          <w:highlight w:val="none"/>
        </w:rPr>
        <w:t>佤山凤城五星级酒店</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莲花塘温泉</w:t>
      </w:r>
      <w:r>
        <w:rPr>
          <w:rFonts w:hint="eastAsia" w:ascii="仿宋_GB2312" w:hAnsi="仿宋_GB2312" w:eastAsia="仿宋_GB2312" w:cs="仿宋_GB2312"/>
          <w:color w:val="auto"/>
          <w:sz w:val="32"/>
          <w:szCs w:val="32"/>
          <w:highlight w:val="none"/>
          <w:lang w:val="en-US" w:eastAsia="zh-CN"/>
        </w:rPr>
        <w:t>等项目。</w:t>
      </w:r>
      <w:r>
        <w:rPr>
          <w:rFonts w:hint="eastAsia" w:ascii="仿宋_GB2312" w:hAnsi="仿宋_GB2312" w:eastAsia="仿宋_GB2312" w:cs="仿宋_GB2312"/>
          <w:i w:val="0"/>
          <w:iCs w:val="0"/>
          <w:caps w:val="0"/>
          <w:color w:val="auto"/>
          <w:spacing w:val="0"/>
          <w:sz w:val="32"/>
          <w:szCs w:val="32"/>
          <w:highlight w:val="none"/>
          <w:shd w:val="clear"/>
        </w:rPr>
        <w:t>确保乡村旅游总收入增</w:t>
      </w:r>
      <w:r>
        <w:rPr>
          <w:rFonts w:hint="eastAsia" w:ascii="仿宋_GB2312" w:hAnsi="仿宋_GB2312" w:eastAsia="仿宋_GB2312" w:cs="仿宋_GB2312"/>
          <w:i w:val="0"/>
          <w:iCs w:val="0"/>
          <w:caps w:val="0"/>
          <w:color w:val="auto"/>
          <w:spacing w:val="0"/>
          <w:sz w:val="32"/>
          <w:szCs w:val="32"/>
          <w:highlight w:val="none"/>
          <w:shd w:val="clear"/>
          <w:lang w:val="en-US" w:eastAsia="zh-CN"/>
        </w:rPr>
        <w:t>15</w:t>
      </w:r>
      <w:r>
        <w:rPr>
          <w:rFonts w:hint="eastAsia" w:ascii="仿宋_GB2312" w:hAnsi="仿宋_GB2312" w:eastAsia="仿宋_GB2312" w:cs="仿宋_GB2312"/>
          <w:i w:val="0"/>
          <w:iCs w:val="0"/>
          <w:caps w:val="0"/>
          <w:color w:val="auto"/>
          <w:spacing w:val="0"/>
          <w:sz w:val="32"/>
          <w:szCs w:val="32"/>
          <w:highlight w:val="none"/>
          <w:shd w:val="clear"/>
        </w:rPr>
        <w:t>%以上。</w:t>
      </w:r>
      <w:r>
        <w:rPr>
          <w:rFonts w:hint="eastAsia" w:ascii="仿宋_GB2312" w:hAnsi="仿宋_GB2312" w:eastAsia="仿宋_GB2312" w:cs="仿宋_GB2312"/>
          <w:i w:val="0"/>
          <w:iCs w:val="0"/>
          <w:caps w:val="0"/>
          <w:color w:val="auto"/>
          <w:spacing w:val="0"/>
          <w:sz w:val="32"/>
          <w:szCs w:val="32"/>
          <w:highlight w:val="none"/>
          <w:shd w:val="clear"/>
          <w:lang w:eastAsia="zh-CN"/>
        </w:rPr>
        <w:t>持续</w:t>
      </w:r>
      <w:r>
        <w:rPr>
          <w:rFonts w:hint="eastAsia" w:ascii="仿宋_GB2312" w:hAnsi="仿宋_GB2312" w:eastAsia="仿宋_GB2312" w:cs="仿宋_GB2312"/>
          <w:color w:val="auto"/>
          <w:sz w:val="32"/>
          <w:szCs w:val="32"/>
          <w:highlight w:val="none"/>
        </w:rPr>
        <w:t>推进滇龙胆、茯苓、滇重楼等中药材品种规模化发展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加快推进</w:t>
      </w:r>
      <w:r>
        <w:rPr>
          <w:rFonts w:hint="eastAsia" w:ascii="仿宋_GB2312" w:hAnsi="仿宋_GB2312" w:eastAsia="仿宋_GB2312" w:cs="仿宋_GB2312"/>
          <w:color w:val="auto"/>
          <w:sz w:val="32"/>
          <w:szCs w:val="32"/>
          <w:highlight w:val="none"/>
        </w:rPr>
        <w:t>林下有机三七种植范园</w:t>
      </w:r>
      <w:r>
        <w:rPr>
          <w:rFonts w:hint="eastAsia" w:ascii="仿宋_GB2312" w:hAnsi="仿宋_GB2312" w:eastAsia="仿宋_GB2312" w:cs="仿宋_GB2312"/>
          <w:color w:val="auto"/>
          <w:sz w:val="32"/>
          <w:szCs w:val="32"/>
          <w:highlight w:val="none"/>
          <w:lang w:val="en-US" w:eastAsia="zh-CN"/>
        </w:rPr>
        <w:t>建设，新种植生物药业面积1.2亩，</w:t>
      </w:r>
      <w:r>
        <w:rPr>
          <w:rFonts w:hint="eastAsia" w:ascii="仿宋_GB2312" w:hAnsi="仿宋_GB2312" w:eastAsia="仿宋_GB2312" w:cs="仿宋_GB2312"/>
          <w:color w:val="auto"/>
          <w:sz w:val="32"/>
          <w:szCs w:val="32"/>
          <w:highlight w:val="none"/>
          <w:shd w:val="clear"/>
          <w:lang w:val="en-US" w:eastAsia="zh-CN"/>
        </w:rPr>
        <w:t>全年综合产值达1.5亿元以上。</w:t>
      </w:r>
      <w:r>
        <w:rPr>
          <w:rFonts w:hint="eastAsia" w:ascii="仿宋_GB2312" w:hAnsi="仿宋_GB2312" w:eastAsia="仿宋_GB2312" w:cs="仿宋_GB2312"/>
          <w:b/>
          <w:bCs/>
          <w:color w:val="auto"/>
          <w:sz w:val="32"/>
          <w:szCs w:val="32"/>
          <w:highlight w:val="none"/>
          <w:shd w:val="clear"/>
          <w:lang w:val="en-US" w:eastAsia="zh-CN"/>
        </w:rPr>
        <w:t>二要</w:t>
      </w:r>
      <w:r>
        <w:rPr>
          <w:rFonts w:hint="eastAsia" w:ascii="仿宋_GB2312" w:hAnsi="仿宋_GB2312" w:eastAsia="仿宋_GB2312" w:cs="仿宋_GB2312"/>
          <w:b/>
          <w:bCs/>
          <w:color w:val="auto"/>
          <w:kern w:val="2"/>
          <w:sz w:val="32"/>
          <w:szCs w:val="32"/>
          <w:highlight w:val="none"/>
          <w:shd w:val="clear"/>
          <w:lang w:val="en-US" w:eastAsia="zh-CN" w:bidi="ar-SA"/>
        </w:rPr>
        <w:t>推进现代工业发展。</w:t>
      </w:r>
      <w:r>
        <w:rPr>
          <w:rFonts w:hint="eastAsia" w:ascii="仿宋_GB2312" w:hAnsi="仿宋_GB2312" w:eastAsia="仿宋_GB2312" w:cs="仿宋_GB2312"/>
          <w:b w:val="0"/>
          <w:bCs w:val="0"/>
          <w:color w:val="auto"/>
          <w:kern w:val="2"/>
          <w:sz w:val="32"/>
          <w:szCs w:val="32"/>
          <w:highlight w:val="none"/>
          <w:shd w:val="clear"/>
          <w:lang w:val="en-US" w:eastAsia="zh-CN" w:bidi="ar-SA"/>
        </w:rPr>
        <w:t>加大现代工业企业家培训力度，推动企业创新，主动融入国际国内大循环新发展格局。全年培训现代工业企业家2期，参训企业100人次以上。</w:t>
      </w:r>
      <w:r>
        <w:rPr>
          <w:rFonts w:hint="eastAsia" w:ascii="仿宋_GB2312" w:hAnsi="仿宋_GB2312" w:eastAsia="仿宋_GB2312" w:cs="仿宋_GB2312"/>
          <w:color w:val="auto"/>
          <w:sz w:val="32"/>
          <w:szCs w:val="32"/>
          <w:highlight w:val="none"/>
        </w:rPr>
        <w:t>加强新材料产业与原材料工业融合发展，重点培育发展以锗、高岭土等为基础原料的新材料产业。积极争取上级电力优惠政策，支持重点招商引资项目、重点工业企业等</w:t>
      </w:r>
      <w:r>
        <w:rPr>
          <w:rFonts w:hint="eastAsia" w:ascii="仿宋_GB2312" w:hAnsi="仿宋_GB2312" w:eastAsia="仿宋_GB2312" w:cs="仿宋_GB2312"/>
          <w:color w:val="auto"/>
          <w:sz w:val="32"/>
          <w:szCs w:val="32"/>
          <w:highlight w:val="none"/>
          <w:lang w:val="en-US" w:eastAsia="zh-CN"/>
        </w:rPr>
        <w:t>现代</w:t>
      </w:r>
      <w:r>
        <w:rPr>
          <w:rFonts w:hint="eastAsia" w:ascii="仿宋_GB2312" w:hAnsi="仿宋_GB2312" w:eastAsia="仿宋_GB2312" w:cs="仿宋_GB2312"/>
          <w:color w:val="auto"/>
          <w:sz w:val="32"/>
          <w:szCs w:val="32"/>
          <w:highlight w:val="none"/>
        </w:rPr>
        <w:t>高载能产业发展，主动承接东部产能转移。围绕主导产业链延伸，</w:t>
      </w:r>
      <w:r>
        <w:rPr>
          <w:rFonts w:hint="eastAsia" w:ascii="仿宋_GB2312" w:hAnsi="仿宋_GB2312" w:eastAsia="仿宋_GB2312" w:cs="仿宋_GB2312"/>
          <w:b w:val="0"/>
          <w:bCs w:val="0"/>
          <w:color w:val="auto"/>
          <w:sz w:val="32"/>
          <w:szCs w:val="32"/>
          <w:highlight w:val="none"/>
          <w:lang w:val="en-US" w:eastAsia="zh-CN"/>
        </w:rPr>
        <w:t>落实处级领导挂钩和责任部门组建专班服务机制及优惠政策，</w:t>
      </w:r>
      <w:r>
        <w:rPr>
          <w:rFonts w:hint="eastAsia" w:ascii="仿宋_GB2312" w:hAnsi="仿宋_GB2312" w:eastAsia="仿宋_GB2312" w:cs="仿宋_GB2312"/>
          <w:b w:val="0"/>
          <w:bCs w:val="0"/>
          <w:color w:val="auto"/>
          <w:sz w:val="32"/>
          <w:szCs w:val="32"/>
          <w:highlight w:val="none"/>
        </w:rPr>
        <w:t>培育一批“专、精、特、高”的中小企业</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color w:val="auto"/>
          <w:sz w:val="32"/>
          <w:szCs w:val="32"/>
          <w:highlight w:val="none"/>
        </w:rPr>
        <w:t>加强沪滇对口帮扶合作，引进实施进口农产品精深加工生产项目，把临翔建成全省</w:t>
      </w:r>
      <w:r>
        <w:rPr>
          <w:rFonts w:hint="eastAsia" w:ascii="仿宋_GB2312" w:hAnsi="仿宋_GB2312" w:eastAsia="仿宋_GB2312" w:cs="仿宋_GB2312"/>
          <w:color w:val="auto"/>
          <w:sz w:val="32"/>
          <w:szCs w:val="32"/>
          <w:highlight w:val="none"/>
          <w:lang w:val="en-US" w:eastAsia="zh-CN"/>
        </w:rPr>
        <w:t>茶叶、核桃（坚果）、</w:t>
      </w:r>
      <w:r>
        <w:rPr>
          <w:rFonts w:hint="eastAsia" w:ascii="仿宋_GB2312" w:hAnsi="仿宋_GB2312" w:eastAsia="仿宋_GB2312" w:cs="仿宋_GB2312"/>
          <w:color w:val="auto"/>
          <w:sz w:val="32"/>
          <w:szCs w:val="32"/>
          <w:highlight w:val="none"/>
        </w:rPr>
        <w:t>油菜、玉米、花生、蔬菜、畜禽等进口农产品精深加工重要基地</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三要</w:t>
      </w:r>
      <w:r>
        <w:rPr>
          <w:rFonts w:hint="eastAsia" w:ascii="仿宋_GB2312" w:hAnsi="仿宋_GB2312" w:eastAsia="仿宋_GB2312" w:cs="仿宋_GB2312"/>
          <w:b/>
          <w:bCs/>
          <w:color w:val="auto"/>
          <w:kern w:val="2"/>
          <w:sz w:val="32"/>
          <w:szCs w:val="32"/>
          <w:highlight w:val="none"/>
          <w:shd w:val="clear"/>
          <w:lang w:val="en-US" w:eastAsia="zh-CN" w:bidi="ar-SA"/>
        </w:rPr>
        <w:t>推进建筑产业发展。</w:t>
      </w:r>
      <w:r>
        <w:rPr>
          <w:rFonts w:hint="eastAsia" w:ascii="仿宋_GB2312" w:hAnsi="仿宋_GB2312" w:eastAsia="仿宋_GB2312" w:cs="仿宋_GB2312"/>
          <w:color w:val="auto"/>
          <w:sz w:val="32"/>
          <w:szCs w:val="32"/>
          <w:highlight w:val="none"/>
        </w:rPr>
        <w:t>合理安排住宅用地供应，适时调整住宅用地供应规模，保证用地供需平衡。积极扶持和引导有实力的房地产开发企业做大做强，提升企业核心竞争力</w:t>
      </w:r>
      <w:r>
        <w:rPr>
          <w:rFonts w:hint="eastAsia" w:ascii="仿宋_GB2312" w:hAnsi="仿宋_GB2312" w:eastAsia="仿宋_GB2312" w:cs="仿宋_GB2312"/>
          <w:color w:val="auto"/>
          <w:sz w:val="32"/>
          <w:szCs w:val="32"/>
          <w:highlight w:val="none"/>
          <w:lang w:val="en-US" w:eastAsia="zh-CN"/>
        </w:rPr>
        <w:t>。实现</w:t>
      </w:r>
      <w:r>
        <w:rPr>
          <w:rFonts w:hint="eastAsia" w:ascii="仿宋_GB2312" w:hAnsi="仿宋_GB2312" w:eastAsia="仿宋_GB2312" w:cs="仿宋_GB2312"/>
          <w:color w:val="auto"/>
          <w:sz w:val="32"/>
          <w:szCs w:val="32"/>
          <w:highlight w:val="none"/>
        </w:rPr>
        <w:t>注册地总专包企业总产值</w:t>
      </w:r>
      <w:r>
        <w:rPr>
          <w:rFonts w:hint="eastAsia" w:ascii="仿宋_GB2312" w:hAnsi="仿宋_GB2312" w:eastAsia="仿宋_GB2312" w:cs="仿宋_GB2312"/>
          <w:color w:val="auto"/>
          <w:sz w:val="32"/>
          <w:szCs w:val="32"/>
          <w:highlight w:val="none"/>
          <w:lang w:val="en-US" w:eastAsia="zh-CN"/>
        </w:rPr>
        <w:t>增长18%以上；商品房销售面积增长2%以上。</w:t>
      </w:r>
      <w:r>
        <w:rPr>
          <w:rFonts w:hint="eastAsia" w:ascii="仿宋_GB2312" w:hAnsi="仿宋_GB2312" w:eastAsia="仿宋_GB2312" w:cs="仿宋_GB2312"/>
          <w:b/>
          <w:bCs/>
          <w:color w:val="auto"/>
          <w:sz w:val="32"/>
          <w:szCs w:val="32"/>
          <w:highlight w:val="none"/>
          <w:lang w:val="en-US" w:eastAsia="zh-CN"/>
        </w:rPr>
        <w:t>四要</w:t>
      </w:r>
      <w:r>
        <w:rPr>
          <w:rFonts w:hint="eastAsia" w:ascii="仿宋_GB2312" w:hAnsi="仿宋_GB2312" w:eastAsia="仿宋_GB2312" w:cs="仿宋_GB2312"/>
          <w:b/>
          <w:bCs/>
          <w:color w:val="auto"/>
          <w:kern w:val="2"/>
          <w:sz w:val="32"/>
          <w:szCs w:val="32"/>
          <w:highlight w:val="none"/>
          <w:shd w:val="clear"/>
          <w:lang w:val="en-US" w:eastAsia="zh-CN" w:bidi="ar-SA"/>
        </w:rPr>
        <w:t>推进现代服务业发展。</w:t>
      </w:r>
      <w:r>
        <w:rPr>
          <w:rFonts w:hint="eastAsia" w:ascii="仿宋_GB2312" w:hAnsi="仿宋_GB2312" w:eastAsia="仿宋_GB2312" w:cs="仿宋_GB2312"/>
          <w:b w:val="0"/>
          <w:bCs w:val="0"/>
          <w:color w:val="auto"/>
          <w:kern w:val="2"/>
          <w:sz w:val="32"/>
          <w:szCs w:val="32"/>
          <w:highlight w:val="none"/>
          <w:shd w:val="clear"/>
          <w:lang w:val="en-US" w:eastAsia="zh-CN" w:bidi="ar-SA"/>
        </w:rPr>
        <w:t>加大现代商贸企业家培训，</w:t>
      </w:r>
      <w:r>
        <w:rPr>
          <w:rFonts w:hint="eastAsia" w:ascii="仿宋_GB2312" w:hAnsi="仿宋_GB2312" w:eastAsia="仿宋_GB2312" w:cs="仿宋_GB2312"/>
          <w:color w:val="auto"/>
          <w:sz w:val="32"/>
          <w:szCs w:val="32"/>
          <w:highlight w:val="none"/>
        </w:rPr>
        <w:t>加强服务标准品牌质量建设，推动生产性服务业向专业化和价值链高端延伸，生活性服务业向高品质多样化升级</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开展现代商贸企业家培训3期，参训企业80户以上。</w:t>
      </w:r>
      <w:r>
        <w:rPr>
          <w:rFonts w:hint="eastAsia" w:ascii="仿宋_GB2312" w:hAnsi="仿宋_GB2312" w:eastAsia="仿宋_GB2312" w:cs="仿宋_GB2312"/>
          <w:b w:val="0"/>
          <w:color w:val="auto"/>
          <w:kern w:val="2"/>
          <w:sz w:val="32"/>
          <w:szCs w:val="32"/>
          <w:lang w:val="en-US" w:eastAsia="zh-CN" w:bidi="ar-SA"/>
        </w:rPr>
        <w:t>依托对外开放平台，发展服务贸易及服务外包，加快外贸进出口转型升级。充分挖掘消费潜力，落实消费优惠政策措施，加强</w:t>
      </w:r>
      <w:r>
        <w:rPr>
          <w:rFonts w:hint="eastAsia" w:ascii="仿宋_GB2312" w:hAnsi="仿宋_GB2312" w:eastAsia="仿宋_GB2312" w:cs="仿宋_GB2312"/>
          <w:color w:val="auto"/>
          <w:sz w:val="32"/>
          <w:szCs w:val="32"/>
        </w:rPr>
        <w:t>市场运营和市场监管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全面促进消费、扩大内需。</w:t>
      </w:r>
      <w:r>
        <w:rPr>
          <w:rFonts w:hint="eastAsia" w:ascii="仿宋_GB2312" w:hAnsi="仿宋_GB2312" w:eastAsia="仿宋_GB2312" w:cs="仿宋_GB2312"/>
          <w:color w:val="auto"/>
          <w:spacing w:val="-6"/>
          <w:sz w:val="32"/>
          <w:szCs w:val="32"/>
          <w:lang w:val="en-US" w:eastAsia="zh-CN"/>
        </w:rPr>
        <w:t>抓住互联网赋能发展经济，进一步优化电商平台，依托于图文带货、视频带货、直播带货、网红带货等售卖方式，提高特色产品知名度。年内实现批发业销售额增长13%以上；零售业营业额增长27%以上；住宿业营业额增长26%以上：餐饮业营业额增长27%以上。</w:t>
      </w:r>
      <w:r>
        <w:rPr>
          <w:rFonts w:hint="eastAsia" w:ascii="仿宋_GB2312" w:hAnsi="仿宋_GB2312" w:eastAsia="仿宋_GB2312" w:cs="仿宋_GB2312"/>
          <w:b/>
          <w:bCs/>
          <w:color w:val="auto"/>
          <w:kern w:val="2"/>
          <w:sz w:val="32"/>
          <w:szCs w:val="32"/>
          <w:highlight w:val="none"/>
          <w:u w:val="none"/>
          <w:shd w:val="clear"/>
          <w:lang w:val="en-US" w:eastAsia="zh-CN" w:bidi="ar-SA"/>
        </w:rPr>
        <w:t>五要构建数字经济体系。</w:t>
      </w:r>
      <w:r>
        <w:rPr>
          <w:rFonts w:hint="eastAsia" w:ascii="仿宋_GB2312" w:hAnsi="仿宋_GB2312" w:eastAsia="仿宋_GB2312" w:cs="仿宋_GB2312"/>
          <w:color w:val="auto"/>
          <w:spacing w:val="-6"/>
          <w:sz w:val="32"/>
          <w:szCs w:val="32"/>
        </w:rPr>
        <w:t>围绕数字经济、数字政府、数字社会、数字城市“四条主线”，以新基建为抓手，全力推进“数字临翔”建设。</w:t>
      </w:r>
      <w:r>
        <w:rPr>
          <w:rFonts w:hint="eastAsia" w:ascii="仿宋_GB2312" w:hAnsi="仿宋_GB2312" w:eastAsia="仿宋_GB2312" w:cs="仿宋_GB2312"/>
          <w:b w:val="0"/>
          <w:bCs w:val="0"/>
          <w:color w:val="auto"/>
          <w:spacing w:val="-6"/>
          <w:sz w:val="32"/>
          <w:szCs w:val="32"/>
          <w:highlight w:val="none"/>
          <w:shd w:val="clear"/>
          <w:lang w:val="en-US" w:eastAsia="zh-CN"/>
        </w:rPr>
        <w:t>加快推进智慧交通、智慧医疗、智慧教育</w:t>
      </w:r>
      <w:r>
        <w:rPr>
          <w:rFonts w:hint="eastAsia" w:ascii="仿宋_GB2312" w:hAnsi="仿宋_GB2312" w:eastAsia="仿宋_GB2312" w:cs="仿宋_GB2312"/>
          <w:b w:val="0"/>
          <w:bCs w:val="0"/>
          <w:color w:val="auto"/>
          <w:spacing w:val="-6"/>
          <w:sz w:val="32"/>
          <w:szCs w:val="32"/>
          <w:highlight w:val="none"/>
          <w:shd w:val="clear"/>
          <w:lang w:eastAsia="zh-CN"/>
        </w:rPr>
        <w:t>、</w:t>
      </w:r>
      <w:r>
        <w:rPr>
          <w:rFonts w:hint="eastAsia" w:ascii="仿宋_GB2312" w:hAnsi="仿宋_GB2312" w:eastAsia="仿宋_GB2312" w:cs="仿宋_GB2312"/>
          <w:b w:val="0"/>
          <w:bCs w:val="0"/>
          <w:color w:val="auto"/>
          <w:spacing w:val="-6"/>
          <w:kern w:val="2"/>
          <w:sz w:val="32"/>
          <w:szCs w:val="32"/>
          <w:highlight w:val="none"/>
          <w:shd w:val="clear"/>
          <w:lang w:val="en-US" w:eastAsia="zh-CN" w:bidi="zh-CN"/>
        </w:rPr>
        <w:t>智慧安防建设。加快推进临沧数字中心、电子商务进农村综合示范等项目建设，年内新建</w:t>
      </w:r>
      <w:r>
        <w:rPr>
          <w:rFonts w:hint="eastAsia" w:ascii="仿宋_GB2312" w:hAnsi="仿宋_GB2312" w:eastAsia="仿宋_GB2312" w:cs="仿宋_GB2312"/>
          <w:color w:val="auto"/>
          <w:sz w:val="32"/>
          <w:szCs w:val="32"/>
          <w:lang w:val="en-US" w:eastAsia="zh-CN"/>
        </w:rPr>
        <w:t>5G基站200个以上。</w:t>
      </w:r>
    </w:p>
    <w:p>
      <w:pPr>
        <w:keepNext w:val="0"/>
        <w:keepLines w:val="0"/>
        <w:pageBreakBefore w:val="0"/>
        <w:widowControl w:val="0"/>
        <w:numPr>
          <w:ilvl w:val="0"/>
          <w:numId w:val="0"/>
        </w:numPr>
        <w:pBdr>
          <w:bottom w:val="single" w:color="FFFFFF" w:sz="4" w:space="28"/>
        </w:pBdr>
        <w:shd w:val="clear"/>
        <w:kinsoku/>
        <w:wordWrap/>
        <w:overflowPunct/>
        <w:topLinePunct w:val="0"/>
        <w:autoSpaceDE/>
        <w:autoSpaceDN/>
        <w:bidi w:val="0"/>
        <w:adjustRightInd/>
        <w:snapToGrid/>
        <w:spacing w:line="560" w:lineRule="exact"/>
        <w:ind w:left="0" w:leftChars="0" w:right="0" w:rightChars="0" w:firstLine="643" w:firstLineChars="200"/>
        <w:jc w:val="both"/>
        <w:textAlignment w:val="baseline"/>
        <w:outlineLvl w:val="9"/>
        <w:rPr>
          <w:rFonts w:hint="eastAsia" w:ascii="仿宋_GB2312" w:hAnsi="仿宋_GB2312" w:eastAsia="仿宋_GB2312" w:cs="仿宋_GB2312"/>
          <w:b w:val="0"/>
          <w:bCs w:val="0"/>
          <w:color w:val="auto"/>
          <w:sz w:val="32"/>
          <w:szCs w:val="32"/>
          <w:highlight w:val="none"/>
          <w:u w:val="none"/>
        </w:rPr>
      </w:pPr>
      <w:r>
        <w:rPr>
          <w:rFonts w:hint="eastAsia" w:ascii="楷体_GB2312" w:hAnsi="楷体_GB2312" w:eastAsia="楷体_GB2312" w:cs="楷体_GB2312"/>
          <w:b/>
          <w:bCs/>
          <w:color w:val="auto"/>
          <w:kern w:val="0"/>
          <w:sz w:val="32"/>
          <w:szCs w:val="32"/>
          <w:highlight w:val="none"/>
          <w:shd w:val="clear"/>
          <w:lang w:val="en-US" w:eastAsia="zh-CN" w:bidi="ar"/>
        </w:rPr>
        <w:t>（四）全面实施乡村振兴战略。</w:t>
      </w:r>
      <w:r>
        <w:rPr>
          <w:rFonts w:hint="eastAsia" w:ascii="仿宋_GB2312" w:hAnsi="仿宋_GB2312" w:eastAsia="仿宋_GB2312" w:cs="仿宋_GB2312"/>
          <w:b w:val="0"/>
          <w:bCs w:val="0"/>
          <w:i w:val="0"/>
          <w:caps w:val="0"/>
          <w:color w:val="auto"/>
          <w:spacing w:val="0"/>
          <w:sz w:val="32"/>
          <w:szCs w:val="32"/>
          <w:highlight w:val="none"/>
          <w:shd w:val="clear" w:fill="auto"/>
          <w:lang w:val="en-US" w:eastAsia="zh-CN"/>
        </w:rPr>
        <w:t>持续落实</w:t>
      </w:r>
      <w:r>
        <w:rPr>
          <w:rFonts w:hint="eastAsia" w:ascii="仿宋_GB2312" w:hAnsi="仿宋_GB2312" w:eastAsia="仿宋_GB2312" w:cs="仿宋_GB2312"/>
          <w:b w:val="0"/>
          <w:bCs w:val="0"/>
          <w:i w:val="0"/>
          <w:caps w:val="0"/>
          <w:color w:val="auto"/>
          <w:spacing w:val="0"/>
          <w:sz w:val="32"/>
          <w:szCs w:val="32"/>
          <w:highlight w:val="none"/>
          <w:shd w:val="clear" w:fill="auto"/>
        </w:rPr>
        <w:t>巩固拓展脱贫攻坚成果同乡村振兴有效衔接的总体要求</w:t>
      </w:r>
      <w:r>
        <w:rPr>
          <w:rFonts w:hint="eastAsia" w:ascii="仿宋_GB2312" w:hAnsi="仿宋_GB2312" w:eastAsia="仿宋_GB2312" w:cs="仿宋_GB2312"/>
          <w:b w:val="0"/>
          <w:bCs w:val="0"/>
          <w:i w:val="0"/>
          <w:caps w:val="0"/>
          <w:color w:val="auto"/>
          <w:spacing w:val="0"/>
          <w:sz w:val="32"/>
          <w:szCs w:val="32"/>
          <w:highlight w:val="none"/>
          <w:shd w:val="clear" w:fill="auto"/>
          <w:lang w:eastAsia="zh-CN"/>
        </w:rPr>
        <w:t>，</w:t>
      </w:r>
      <w:r>
        <w:rPr>
          <w:rFonts w:hint="eastAsia" w:ascii="仿宋_GB2312" w:hAnsi="仿宋_GB2312" w:eastAsia="仿宋_GB2312" w:cs="仿宋_GB2312"/>
          <w:color w:val="auto"/>
          <w:sz w:val="32"/>
          <w:szCs w:val="32"/>
          <w:highlight w:val="none"/>
        </w:rPr>
        <w:t>逐步实现由集中资源支持脱贫攻坚</w:t>
      </w:r>
      <w:r>
        <w:rPr>
          <w:rFonts w:hint="eastAsia" w:ascii="仿宋_GB2312" w:hAnsi="仿宋_GB2312" w:eastAsia="仿宋_GB2312" w:cs="仿宋_GB2312"/>
          <w:b w:val="0"/>
          <w:bCs w:val="0"/>
          <w:color w:val="auto"/>
          <w:sz w:val="32"/>
          <w:szCs w:val="32"/>
          <w:highlight w:val="none"/>
          <w:shd w:val="clear" w:fill="auto"/>
          <w:lang w:val="en-US" w:eastAsia="zh-CN"/>
        </w:rPr>
        <w:t>转</w:t>
      </w:r>
      <w:r>
        <w:rPr>
          <w:rFonts w:hint="eastAsia" w:ascii="仿宋_GB2312" w:hAnsi="仿宋_GB2312" w:eastAsia="仿宋_GB2312" w:cs="仿宋_GB2312"/>
          <w:color w:val="auto"/>
          <w:sz w:val="32"/>
          <w:szCs w:val="32"/>
          <w:highlight w:val="none"/>
        </w:rPr>
        <w:t>向全面推进乡村振兴</w:t>
      </w:r>
      <w:r>
        <w:rPr>
          <w:rFonts w:hint="eastAsia" w:ascii="仿宋_GB2312" w:hAnsi="仿宋_GB2312" w:eastAsia="仿宋_GB2312" w:cs="仿宋_GB2312"/>
          <w:b w:val="0"/>
          <w:bCs w:val="0"/>
          <w:color w:val="auto"/>
          <w:sz w:val="32"/>
          <w:szCs w:val="32"/>
          <w:highlight w:val="none"/>
          <w:shd w:val="clear" w:fill="auto"/>
          <w:lang w:eastAsia="zh-CN"/>
        </w:rPr>
        <w:t>。</w:t>
      </w:r>
      <w:r>
        <w:rPr>
          <w:rFonts w:hint="eastAsia" w:ascii="仿宋_GB2312" w:hAnsi="仿宋_GB2312" w:eastAsia="仿宋_GB2312" w:cs="仿宋_GB2312"/>
          <w:b/>
          <w:bCs/>
          <w:color w:val="auto"/>
          <w:sz w:val="32"/>
          <w:szCs w:val="32"/>
          <w:highlight w:val="none"/>
          <w:shd w:val="clear" w:fill="auto"/>
          <w:lang w:val="en-US" w:eastAsia="zh-CN"/>
        </w:rPr>
        <w:t>一要</w:t>
      </w:r>
      <w:r>
        <w:rPr>
          <w:rFonts w:hint="eastAsia" w:ascii="仿宋_GB2312" w:hAnsi="仿宋_GB2312" w:eastAsia="仿宋_GB2312" w:cs="仿宋_GB2312"/>
          <w:b/>
          <w:bCs/>
          <w:color w:val="auto"/>
          <w:sz w:val="32"/>
          <w:szCs w:val="32"/>
          <w:highlight w:val="none"/>
        </w:rPr>
        <w:t>党建引领乡村振兴示范村</w:t>
      </w:r>
      <w:r>
        <w:rPr>
          <w:rFonts w:hint="eastAsia" w:ascii="仿宋_GB2312" w:hAnsi="仿宋_GB2312" w:eastAsia="仿宋_GB2312" w:cs="仿宋_GB2312"/>
          <w:b/>
          <w:bCs/>
          <w:color w:val="auto"/>
          <w:sz w:val="32"/>
          <w:szCs w:val="32"/>
          <w:highlight w:val="none"/>
          <w:lang w:val="en-US" w:eastAsia="zh-CN"/>
        </w:rPr>
        <w:t>建设。</w:t>
      </w:r>
      <w:r>
        <w:rPr>
          <w:rFonts w:hint="eastAsia" w:ascii="仿宋_GB2312" w:hAnsi="仿宋_GB2312" w:eastAsia="仿宋_GB2312" w:cs="仿宋_GB2312"/>
          <w:b w:val="0"/>
          <w:bCs w:val="0"/>
          <w:color w:val="auto"/>
          <w:sz w:val="32"/>
          <w:szCs w:val="32"/>
          <w:highlight w:val="none"/>
        </w:rPr>
        <w:t>以发挥农村基层党组织政治功能和组织功能为重点，全面打造党建引领乡村振兴示范村</w:t>
      </w:r>
      <w:r>
        <w:rPr>
          <w:rFonts w:hint="eastAsia" w:ascii="仿宋_GB2312" w:hAnsi="仿宋_GB2312" w:eastAsia="仿宋_GB2312" w:cs="仿宋_GB2312"/>
          <w:b w:val="0"/>
          <w:bCs w:val="0"/>
          <w:color w:val="auto"/>
          <w:sz w:val="32"/>
          <w:szCs w:val="32"/>
          <w:highlight w:val="none"/>
          <w:lang w:val="en-US" w:eastAsia="zh-CN"/>
        </w:rPr>
        <w:t>20</w:t>
      </w:r>
      <w:r>
        <w:rPr>
          <w:rFonts w:hint="eastAsia" w:ascii="仿宋_GB2312" w:hAnsi="仿宋_GB2312" w:eastAsia="仿宋_GB2312" w:cs="仿宋_GB2312"/>
          <w:b w:val="0"/>
          <w:bCs w:val="0"/>
          <w:color w:val="auto"/>
          <w:sz w:val="32"/>
          <w:szCs w:val="32"/>
          <w:highlight w:val="none"/>
        </w:rPr>
        <w:t>个</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精品示范村14个。</w:t>
      </w:r>
      <w:r>
        <w:rPr>
          <w:rFonts w:hint="eastAsia" w:ascii="仿宋_GB2312" w:hAnsi="仿宋_GB2312" w:eastAsia="仿宋_GB2312" w:cs="仿宋_GB2312"/>
          <w:b/>
          <w:bCs/>
          <w:color w:val="auto"/>
          <w:sz w:val="32"/>
          <w:szCs w:val="32"/>
          <w:highlight w:val="none"/>
          <w:lang w:val="en-US" w:eastAsia="zh-CN"/>
        </w:rPr>
        <w:t>二要</w:t>
      </w:r>
      <w:r>
        <w:rPr>
          <w:rFonts w:hint="eastAsia" w:ascii="仿宋_GB2312" w:hAnsi="仿宋_GB2312" w:eastAsia="仿宋_GB2312" w:cs="仿宋_GB2312"/>
          <w:b/>
          <w:bCs/>
          <w:color w:val="auto"/>
          <w:sz w:val="32"/>
          <w:szCs w:val="32"/>
          <w:highlight w:val="none"/>
          <w:shd w:val="clear"/>
          <w:lang w:val="en-US" w:eastAsia="zh-CN"/>
        </w:rPr>
        <w:t>以农业现代化引领乡村振兴发展。</w:t>
      </w:r>
      <w:r>
        <w:rPr>
          <w:rFonts w:hint="eastAsia" w:ascii="仿宋_GB2312" w:hAnsi="仿宋_GB2312" w:eastAsia="仿宋_GB2312" w:cs="仿宋_GB2312"/>
          <w:b w:val="0"/>
          <w:bCs w:val="0"/>
          <w:color w:val="auto"/>
          <w:sz w:val="32"/>
          <w:szCs w:val="32"/>
          <w:highlight w:val="none"/>
          <w:shd w:val="clear"/>
          <w:lang w:val="en-US" w:eastAsia="zh-CN"/>
        </w:rPr>
        <w:t>全面贯彻</w:t>
      </w:r>
      <w:r>
        <w:rPr>
          <w:rFonts w:hint="eastAsia" w:ascii="仿宋_GB2312" w:hAnsi="仿宋_GB2312" w:eastAsia="仿宋_GB2312" w:cs="仿宋_GB2312"/>
          <w:b w:val="0"/>
          <w:bCs w:val="0"/>
          <w:color w:val="auto"/>
          <w:sz w:val="32"/>
          <w:szCs w:val="32"/>
          <w:highlight w:val="none"/>
        </w:rPr>
        <w:t>落实</w:t>
      </w:r>
      <w:r>
        <w:rPr>
          <w:rFonts w:hint="eastAsia" w:ascii="仿宋_GB2312" w:hAnsi="仿宋_GB2312" w:eastAsia="仿宋_GB2312" w:cs="仿宋_GB2312"/>
          <w:b w:val="0"/>
          <w:bCs w:val="0"/>
          <w:color w:val="auto"/>
          <w:sz w:val="32"/>
          <w:szCs w:val="32"/>
          <w:highlight w:val="none"/>
          <w:lang w:val="en-US" w:eastAsia="zh-CN"/>
        </w:rPr>
        <w:t>中央、省、市、区</w:t>
      </w:r>
      <w:r>
        <w:rPr>
          <w:rFonts w:hint="eastAsia" w:ascii="仿宋_GB2312" w:hAnsi="仿宋_GB2312" w:eastAsia="仿宋_GB2312" w:cs="仿宋_GB2312"/>
          <w:b w:val="0"/>
          <w:bCs w:val="0"/>
          <w:color w:val="auto"/>
          <w:sz w:val="32"/>
          <w:szCs w:val="32"/>
          <w:highlight w:val="none"/>
        </w:rPr>
        <w:t>推进乡村振兴加快农业农村现代化的实施意见</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color w:val="auto"/>
          <w:sz w:val="32"/>
          <w:szCs w:val="32"/>
          <w:highlight w:val="none"/>
          <w:shd w:val="clear"/>
          <w:lang w:val="en-US" w:eastAsia="zh-CN"/>
        </w:rPr>
        <w:t>培育壮大乡村旅游、休闲农业，全力打造以三七等中药材为主的全产业链拓展农业增值增效空间。引进农业龙头企业，培育农民专业合作社、家庭农场，培养新型农民，加强地理标志农产品培育保护，加强农产品质量安全追溯体系建设，打造标志性特色农产品全产业链。</w:t>
      </w:r>
      <w:r>
        <w:rPr>
          <w:rFonts w:hint="eastAsia" w:ascii="仿宋_GB2312" w:hAnsi="仿宋_GB2312" w:eastAsia="仿宋_GB2312" w:cs="仿宋_GB2312"/>
          <w:color w:val="auto"/>
          <w:sz w:val="32"/>
          <w:szCs w:val="32"/>
          <w:highlight w:val="none"/>
          <w:shd w:val="clear"/>
        </w:rPr>
        <w:t>培育家庭农场达450个以上，其中</w:t>
      </w:r>
      <w:r>
        <w:rPr>
          <w:rFonts w:hint="eastAsia" w:ascii="仿宋_GB2312" w:hAnsi="仿宋_GB2312" w:eastAsia="仿宋_GB2312" w:cs="仿宋_GB2312"/>
          <w:color w:val="auto"/>
          <w:kern w:val="0"/>
          <w:sz w:val="32"/>
          <w:szCs w:val="32"/>
          <w:highlight w:val="none"/>
          <w:shd w:val="clear"/>
        </w:rPr>
        <w:t>省级</w:t>
      </w:r>
      <w:r>
        <w:rPr>
          <w:rFonts w:hint="eastAsia" w:ascii="仿宋_GB2312" w:hAnsi="仿宋_GB2312" w:eastAsia="仿宋_GB2312" w:cs="仿宋_GB2312"/>
          <w:color w:val="auto"/>
          <w:sz w:val="32"/>
          <w:szCs w:val="32"/>
          <w:highlight w:val="none"/>
          <w:shd w:val="clear"/>
        </w:rPr>
        <w:t>农民专业合作社</w:t>
      </w:r>
      <w:r>
        <w:rPr>
          <w:rFonts w:hint="eastAsia" w:ascii="仿宋_GB2312" w:hAnsi="仿宋_GB2312" w:eastAsia="仿宋_GB2312" w:cs="仿宋_GB2312"/>
          <w:color w:val="auto"/>
          <w:kern w:val="0"/>
          <w:sz w:val="32"/>
          <w:szCs w:val="32"/>
          <w:highlight w:val="none"/>
          <w:shd w:val="clear"/>
        </w:rPr>
        <w:t>示范社达12个以上</w:t>
      </w:r>
      <w:r>
        <w:rPr>
          <w:rFonts w:hint="eastAsia" w:ascii="仿宋_GB2312" w:hAnsi="仿宋_GB2312" w:eastAsia="仿宋_GB2312" w:cs="仿宋_GB2312"/>
          <w:color w:val="auto"/>
          <w:kern w:val="0"/>
          <w:sz w:val="32"/>
          <w:szCs w:val="32"/>
          <w:highlight w:val="none"/>
          <w:shd w:val="clear"/>
          <w:lang w:eastAsia="zh-CN"/>
        </w:rPr>
        <w:t>；</w:t>
      </w:r>
      <w:r>
        <w:rPr>
          <w:rFonts w:hint="eastAsia" w:ascii="仿宋_GB2312" w:hAnsi="仿宋_GB2312" w:eastAsia="仿宋_GB2312" w:cs="仿宋_GB2312"/>
          <w:color w:val="auto"/>
          <w:kern w:val="0"/>
          <w:sz w:val="32"/>
          <w:szCs w:val="32"/>
          <w:highlight w:val="none"/>
          <w:shd w:val="clear"/>
        </w:rPr>
        <w:t>市级示范社达16个以上</w:t>
      </w:r>
      <w:r>
        <w:rPr>
          <w:rFonts w:hint="eastAsia" w:ascii="仿宋_GB2312" w:hAnsi="仿宋_GB2312" w:eastAsia="仿宋_GB2312" w:cs="仿宋_GB2312"/>
          <w:color w:val="auto"/>
          <w:kern w:val="0"/>
          <w:sz w:val="32"/>
          <w:szCs w:val="32"/>
          <w:highlight w:val="none"/>
          <w:shd w:val="clear"/>
          <w:lang w:eastAsia="zh-CN"/>
        </w:rPr>
        <w:t>。</w:t>
      </w:r>
      <w:r>
        <w:rPr>
          <w:rFonts w:hint="eastAsia" w:ascii="仿宋_GB2312" w:hAnsi="仿宋_GB2312" w:eastAsia="仿宋_GB2312" w:cs="仿宋_GB2312"/>
          <w:color w:val="auto"/>
          <w:kern w:val="2"/>
          <w:sz w:val="32"/>
          <w:szCs w:val="32"/>
          <w:highlight w:val="none"/>
          <w:u w:val="none"/>
          <w:shd w:val="clear"/>
          <w:lang w:val="en-US" w:eastAsia="zh-CN" w:bidi="ar-SA"/>
        </w:rPr>
        <w:t>以“四个清单”为抓手，运用“万名干部规划家乡行动”成果，持续推进乡村振兴“十百千”示范工程，</w:t>
      </w:r>
      <w:r>
        <w:rPr>
          <w:rFonts w:hint="eastAsia" w:ascii="仿宋_GB2312" w:hAnsi="仿宋_GB2312" w:eastAsia="仿宋_GB2312" w:cs="仿宋_GB2312"/>
          <w:color w:val="auto"/>
          <w:kern w:val="0"/>
          <w:sz w:val="32"/>
          <w:szCs w:val="32"/>
          <w:highlight w:val="none"/>
          <w:shd w:val="clear"/>
          <w:lang w:val="en-US" w:eastAsia="zh-CN" w:bidi="ar"/>
        </w:rPr>
        <w:t>打造乡村振兴示范乡（镇）1个、精品示范村14个、美丽村庄43个。</w:t>
      </w:r>
      <w:r>
        <w:rPr>
          <w:rFonts w:hint="eastAsia" w:ascii="仿宋_GB2312" w:hAnsi="仿宋_GB2312" w:eastAsia="仿宋_GB2312" w:cs="仿宋_GB2312"/>
          <w:b/>
          <w:bCs/>
          <w:color w:val="auto"/>
          <w:kern w:val="0"/>
          <w:sz w:val="32"/>
          <w:szCs w:val="32"/>
          <w:highlight w:val="none"/>
          <w:shd w:val="clear"/>
          <w:lang w:val="en-US" w:eastAsia="zh-CN" w:bidi="ar"/>
        </w:rPr>
        <w:t>三要</w:t>
      </w:r>
      <w:r>
        <w:rPr>
          <w:rFonts w:hint="eastAsia" w:ascii="仿宋_GB2312" w:hAnsi="仿宋_GB2312" w:eastAsia="仿宋_GB2312" w:cs="仿宋_GB2312"/>
          <w:b/>
          <w:bCs/>
          <w:i w:val="0"/>
          <w:iCs w:val="0"/>
          <w:caps w:val="0"/>
          <w:color w:val="auto"/>
          <w:spacing w:val="0"/>
          <w:sz w:val="32"/>
          <w:szCs w:val="32"/>
          <w:highlight w:val="none"/>
          <w:shd w:val="clear"/>
          <w:lang w:val="en-US" w:eastAsia="zh-CN"/>
        </w:rPr>
        <w:t>加大金融服务乡村振兴力度。</w:t>
      </w:r>
      <w:r>
        <w:rPr>
          <w:rFonts w:hint="eastAsia" w:ascii="仿宋_GB2312" w:hAnsi="仿宋_GB2312" w:eastAsia="仿宋_GB2312" w:cs="仿宋_GB2312"/>
          <w:b w:val="0"/>
          <w:bCs w:val="0"/>
          <w:i w:val="0"/>
          <w:iCs w:val="0"/>
          <w:caps w:val="0"/>
          <w:color w:val="auto"/>
          <w:spacing w:val="0"/>
          <w:sz w:val="32"/>
          <w:szCs w:val="32"/>
          <w:highlight w:val="none"/>
          <w:u w:val="none"/>
          <w:shd w:val="clear"/>
          <w:lang w:val="en-US" w:eastAsia="zh-CN"/>
        </w:rPr>
        <w:t>贯彻落实《</w:t>
      </w:r>
      <w:r>
        <w:rPr>
          <w:rFonts w:hint="eastAsia" w:ascii="仿宋_GB2312" w:hAnsi="仿宋_GB2312" w:eastAsia="仿宋_GB2312" w:cs="仿宋_GB2312"/>
          <w:color w:val="auto"/>
          <w:sz w:val="32"/>
          <w:szCs w:val="32"/>
          <w:highlight w:val="none"/>
          <w:u w:val="none"/>
        </w:rPr>
        <w:t>中国人民银行临沧市中心支</w:t>
      </w:r>
      <w:r>
        <w:rPr>
          <w:rFonts w:hint="eastAsia" w:ascii="仿宋_GB2312" w:hAnsi="仿宋_GB2312" w:eastAsia="仿宋_GB2312" w:cs="仿宋_GB2312"/>
          <w:color w:val="auto"/>
          <w:sz w:val="32"/>
          <w:szCs w:val="32"/>
          <w:highlight w:val="none"/>
          <w:u w:val="none"/>
          <w:lang w:eastAsia="zh-CN"/>
        </w:rPr>
        <w:t>行</w:t>
      </w:r>
      <w:r>
        <w:rPr>
          <w:rFonts w:hint="eastAsia" w:ascii="仿宋_GB2312" w:hAnsi="仿宋_GB2312" w:eastAsia="仿宋_GB2312" w:cs="仿宋_GB2312"/>
          <w:color w:val="auto"/>
          <w:sz w:val="32"/>
          <w:szCs w:val="32"/>
          <w:highlight w:val="none"/>
          <w:u w:val="none"/>
        </w:rPr>
        <w:t>印发</w:t>
      </w:r>
      <w:r>
        <w:rPr>
          <w:rFonts w:hint="eastAsia" w:ascii="仿宋_GB2312" w:hAnsi="仿宋_GB2312" w:eastAsia="仿宋_GB2312" w:cs="仿宋_GB2312"/>
          <w:color w:val="auto"/>
          <w:sz w:val="32"/>
          <w:szCs w:val="32"/>
          <w:highlight w:val="none"/>
          <w:u w:val="none"/>
          <w:lang w:val="en-US" w:eastAsia="zh-CN"/>
        </w:rPr>
        <w:t>&lt;</w:t>
      </w:r>
      <w:r>
        <w:rPr>
          <w:rFonts w:hint="eastAsia" w:ascii="仿宋_GB2312" w:hAnsi="仿宋_GB2312" w:eastAsia="仿宋_GB2312" w:cs="仿宋_GB2312"/>
          <w:color w:val="auto"/>
          <w:sz w:val="32"/>
          <w:szCs w:val="32"/>
          <w:highlight w:val="none"/>
          <w:u w:val="none"/>
        </w:rPr>
        <w:t>金融支持临沧市临翔区高质量建设乡村振兴示范区实施方案</w:t>
      </w:r>
      <w:r>
        <w:rPr>
          <w:rFonts w:hint="eastAsia" w:ascii="仿宋_GB2312" w:hAnsi="仿宋_GB2312" w:eastAsia="仿宋_GB2312" w:cs="仿宋_GB2312"/>
          <w:color w:val="auto"/>
          <w:sz w:val="32"/>
          <w:szCs w:val="32"/>
          <w:highlight w:val="none"/>
          <w:u w:val="none"/>
          <w:lang w:val="en-US" w:eastAsia="zh-CN"/>
        </w:rPr>
        <w:t>&gt;通知</w:t>
      </w:r>
      <w:r>
        <w:rPr>
          <w:rFonts w:hint="eastAsia" w:ascii="仿宋_GB2312" w:hAnsi="仿宋_GB2312" w:eastAsia="仿宋_GB2312" w:cs="仿宋_GB2312"/>
          <w:b w:val="0"/>
          <w:bCs w:val="0"/>
          <w:i w:val="0"/>
          <w:iCs w:val="0"/>
          <w:caps w:val="0"/>
          <w:color w:val="auto"/>
          <w:spacing w:val="0"/>
          <w:sz w:val="32"/>
          <w:szCs w:val="32"/>
          <w:highlight w:val="none"/>
          <w:u w:val="none"/>
          <w:shd w:val="clear"/>
          <w:lang w:val="en-US" w:eastAsia="zh-CN"/>
        </w:rPr>
        <w:t>》精神，以</w:t>
      </w:r>
      <w:r>
        <w:rPr>
          <w:rFonts w:hint="eastAsia" w:ascii="仿宋_GB2312" w:hAnsi="仿宋_GB2312" w:eastAsia="仿宋_GB2312" w:cs="仿宋_GB2312"/>
          <w:b w:val="0"/>
          <w:bCs w:val="0"/>
          <w:color w:val="auto"/>
          <w:sz w:val="32"/>
          <w:szCs w:val="32"/>
          <w:highlight w:val="none"/>
          <w:u w:val="none"/>
          <w:lang w:val="en-US" w:eastAsia="zh-CN"/>
        </w:rPr>
        <w:t>打造</w:t>
      </w:r>
      <w:r>
        <w:rPr>
          <w:rFonts w:hint="eastAsia" w:ascii="仿宋_GB2312" w:hAnsi="仿宋_GB2312" w:eastAsia="仿宋_GB2312" w:cs="仿宋_GB2312"/>
          <w:b w:val="0"/>
          <w:bCs w:val="0"/>
          <w:color w:val="auto"/>
          <w:sz w:val="32"/>
          <w:szCs w:val="32"/>
          <w:highlight w:val="none"/>
          <w:u w:val="none"/>
        </w:rPr>
        <w:t>世界一流茶产业</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rPr>
        <w:t>优质高效“坚果基地”</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rPr>
        <w:t>绿色高产油料基地</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rPr>
        <w:t>冬春蔬菜重要产区</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rPr>
        <w:t>培育肉牛产业</w:t>
      </w:r>
      <w:r>
        <w:rPr>
          <w:rFonts w:hint="eastAsia" w:ascii="仿宋_GB2312" w:hAnsi="仿宋_GB2312" w:eastAsia="仿宋_GB2312" w:cs="仿宋_GB2312"/>
          <w:b w:val="0"/>
          <w:bCs w:val="0"/>
          <w:color w:val="auto"/>
          <w:sz w:val="32"/>
          <w:szCs w:val="32"/>
          <w:highlight w:val="none"/>
          <w:u w:val="none"/>
          <w:lang w:val="en-US" w:eastAsia="zh-CN"/>
        </w:rPr>
        <w:t>发展五个方面为重点，争取更多金融贷款服务乡村振兴发展。实现金融存款增长10%以上；金融贷款增长11%以上。</w:t>
      </w:r>
      <w:r>
        <w:rPr>
          <w:rFonts w:hint="eastAsia" w:ascii="仿宋_GB2312" w:hAnsi="仿宋_GB2312" w:eastAsia="仿宋_GB2312" w:cs="仿宋_GB2312"/>
          <w:b/>
          <w:bCs/>
          <w:color w:val="auto"/>
          <w:sz w:val="32"/>
          <w:szCs w:val="32"/>
          <w:highlight w:val="none"/>
          <w:u w:val="none"/>
          <w:lang w:val="en-US" w:eastAsia="zh-CN"/>
        </w:rPr>
        <w:t>四要</w:t>
      </w:r>
      <w:r>
        <w:rPr>
          <w:rFonts w:hint="eastAsia" w:ascii="仿宋_GB2312" w:hAnsi="仿宋_GB2312" w:eastAsia="仿宋_GB2312" w:cs="仿宋_GB2312"/>
          <w:b/>
          <w:bCs/>
          <w:color w:val="auto"/>
          <w:sz w:val="32"/>
          <w:szCs w:val="32"/>
          <w:highlight w:val="none"/>
          <w:shd w:val="clear"/>
          <w:lang w:val="en-US" w:eastAsia="zh-CN"/>
        </w:rPr>
        <w:t>全面推进乡村振兴有效治理。</w:t>
      </w:r>
      <w:r>
        <w:rPr>
          <w:rFonts w:hint="eastAsia" w:ascii="仿宋_GB2312" w:hAnsi="仿宋_GB2312" w:eastAsia="仿宋_GB2312" w:cs="仿宋_GB2312"/>
          <w:b w:val="0"/>
          <w:bCs w:val="0"/>
          <w:color w:val="auto"/>
          <w:sz w:val="32"/>
          <w:szCs w:val="32"/>
          <w:highlight w:val="none"/>
          <w:u w:val="none"/>
        </w:rPr>
        <w:t>突出农村“厕所革命”、垃圾整治、污水治理这三个关键点，深入推进农村人居环境整治行动，加强新时代农村精神文明建设，构建“自治、德治、法治、网治”的乡村治理格局，提升乡村善治水平。</w:t>
      </w:r>
    </w:p>
    <w:p>
      <w:pPr>
        <w:keepNext w:val="0"/>
        <w:keepLines w:val="0"/>
        <w:pageBreakBefore w:val="0"/>
        <w:widowControl w:val="0"/>
        <w:numPr>
          <w:ilvl w:val="0"/>
          <w:numId w:val="0"/>
        </w:numPr>
        <w:pBdr>
          <w:bottom w:val="single" w:color="FFFFFF" w:sz="4" w:space="28"/>
        </w:pBdr>
        <w:shd w:val="clear"/>
        <w:kinsoku/>
        <w:wordWrap/>
        <w:overflowPunct/>
        <w:topLinePunct w:val="0"/>
        <w:autoSpaceDE/>
        <w:autoSpaceDN/>
        <w:bidi w:val="0"/>
        <w:adjustRightInd/>
        <w:snapToGrid/>
        <w:spacing w:line="560" w:lineRule="exact"/>
        <w:ind w:left="0" w:leftChars="0" w:right="0" w:rightChars="0" w:firstLine="643" w:firstLineChars="200"/>
        <w:jc w:val="both"/>
        <w:textAlignment w:val="baseline"/>
        <w:outlineLvl w:val="9"/>
        <w:rPr>
          <w:rFonts w:hint="eastAsia" w:ascii="仿宋_GB2312" w:hAnsi="仿宋_GB2312" w:eastAsia="仿宋_GB2312" w:cs="仿宋_GB2312"/>
          <w:i w:val="0"/>
          <w:iCs w:val="0"/>
          <w:caps w:val="0"/>
          <w:color w:val="auto"/>
          <w:spacing w:val="0"/>
          <w:sz w:val="32"/>
          <w:szCs w:val="32"/>
          <w:highlight w:val="none"/>
          <w:u w:val="none"/>
          <w:shd w:val="clear"/>
          <w:lang w:eastAsia="zh-CN"/>
        </w:rPr>
      </w:pPr>
      <w:r>
        <w:rPr>
          <w:rFonts w:hint="eastAsia" w:ascii="楷体_GB2312" w:hAnsi="楷体_GB2312" w:eastAsia="楷体_GB2312" w:cs="楷体_GB2312"/>
          <w:b/>
          <w:bCs/>
          <w:color w:val="auto"/>
          <w:kern w:val="0"/>
          <w:sz w:val="32"/>
          <w:szCs w:val="32"/>
          <w:highlight w:val="none"/>
          <w:u w:val="none"/>
          <w:lang w:eastAsia="zh-CN" w:bidi="ar"/>
        </w:rPr>
        <w:t>（</w:t>
      </w:r>
      <w:r>
        <w:rPr>
          <w:rFonts w:hint="eastAsia" w:ascii="楷体_GB2312" w:hAnsi="楷体_GB2312" w:eastAsia="楷体_GB2312" w:cs="楷体_GB2312"/>
          <w:b/>
          <w:bCs/>
          <w:color w:val="auto"/>
          <w:kern w:val="0"/>
          <w:sz w:val="32"/>
          <w:szCs w:val="32"/>
          <w:highlight w:val="none"/>
          <w:u w:val="none"/>
          <w:lang w:val="en-US" w:eastAsia="zh-CN" w:bidi="ar"/>
        </w:rPr>
        <w:t>五</w:t>
      </w:r>
      <w:r>
        <w:rPr>
          <w:rFonts w:hint="eastAsia" w:ascii="楷体_GB2312" w:hAnsi="楷体_GB2312" w:eastAsia="楷体_GB2312" w:cs="楷体_GB2312"/>
          <w:b/>
          <w:bCs/>
          <w:color w:val="auto"/>
          <w:kern w:val="0"/>
          <w:sz w:val="32"/>
          <w:szCs w:val="32"/>
          <w:highlight w:val="none"/>
          <w:u w:val="none"/>
          <w:lang w:eastAsia="zh-CN" w:bidi="ar"/>
        </w:rPr>
        <w:t>）</w:t>
      </w:r>
      <w:r>
        <w:rPr>
          <w:rFonts w:hint="eastAsia" w:ascii="楷体_GB2312" w:hAnsi="楷体_GB2312" w:eastAsia="楷体_GB2312" w:cs="楷体_GB2312"/>
          <w:b/>
          <w:bCs/>
          <w:color w:val="auto"/>
          <w:kern w:val="0"/>
          <w:sz w:val="32"/>
          <w:szCs w:val="32"/>
          <w:highlight w:val="none"/>
          <w:shd w:val="clear"/>
          <w:lang w:val="en-US" w:eastAsia="zh-CN" w:bidi="ar"/>
        </w:rPr>
        <w:t>全面推进新型城镇化建设。</w:t>
      </w:r>
      <w:r>
        <w:rPr>
          <w:rFonts w:hint="eastAsia" w:ascii="仿宋_GB2312" w:hAnsi="仿宋_GB2312" w:eastAsia="仿宋_GB2312" w:cs="仿宋_GB2312"/>
          <w:b w:val="0"/>
          <w:bCs w:val="0"/>
          <w:color w:val="auto"/>
          <w:sz w:val="32"/>
          <w:szCs w:val="32"/>
          <w:highlight w:val="none"/>
          <w:u w:val="none"/>
        </w:rPr>
        <w:t>坚持内涵式、集约型、绿色化，以“花园新城、康养胜地、恒春之都、大美临翔”为定位，聚焦“干净、宜居、特色、智慧”，把临翔打造成花园城市建设的示范</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bCs/>
          <w:color w:val="auto"/>
          <w:sz w:val="32"/>
          <w:szCs w:val="32"/>
          <w:highlight w:val="none"/>
          <w:u w:val="none"/>
          <w:lang w:val="en-US" w:eastAsia="zh-CN"/>
        </w:rPr>
        <w:t>一要</w:t>
      </w:r>
      <w:r>
        <w:rPr>
          <w:rFonts w:hint="eastAsia" w:ascii="仿宋_GB2312" w:hAnsi="仿宋_GB2312" w:eastAsia="仿宋_GB2312" w:cs="仿宋_GB2312"/>
          <w:b/>
          <w:bCs/>
          <w:color w:val="auto"/>
          <w:sz w:val="32"/>
          <w:szCs w:val="32"/>
          <w:highlight w:val="none"/>
          <w:shd w:val="clear"/>
          <w:lang w:val="en-US" w:eastAsia="zh-CN"/>
        </w:rPr>
        <w:t>快速推进新型城镇化。</w:t>
      </w:r>
      <w:r>
        <w:rPr>
          <w:rFonts w:hint="eastAsia" w:ascii="仿宋_GB2312" w:hAnsi="仿宋_GB2312" w:eastAsia="仿宋_GB2312" w:cs="仿宋_GB2312"/>
          <w:color w:val="auto"/>
          <w:sz w:val="32"/>
          <w:szCs w:val="32"/>
          <w:highlight w:val="none"/>
          <w:u w:val="none"/>
          <w:shd w:val="clear"/>
          <w:lang w:val="en-US" w:eastAsia="zh-CN"/>
        </w:rPr>
        <w:t>大力实施城市更新行动，加快城镇老旧小区、城中村改造和居住社区建设，实施城市生态修复、垃圾污水治理，推进花园城市、智慧城市、海绵城市建设。优化城市空间和建筑布局，传承保护历史文化，提升城市治理水平。</w:t>
      </w:r>
      <w:r>
        <w:rPr>
          <w:rFonts w:hint="eastAsia" w:ascii="仿宋_GB2312" w:hAnsi="仿宋_GB2312" w:eastAsia="仿宋_GB2312" w:cs="仿宋_GB2312"/>
          <w:b w:val="0"/>
          <w:bCs w:val="0"/>
          <w:color w:val="auto"/>
          <w:sz w:val="32"/>
          <w:szCs w:val="32"/>
          <w:highlight w:val="none"/>
          <w:u w:val="none"/>
          <w:shd w:val="clear"/>
          <w:lang w:val="en-US" w:eastAsia="zh-CN"/>
        </w:rPr>
        <w:t>落实户籍制度改革的各项政策措施，加大城镇基础设施和公共服务设施的供给，让更多的农村人口想进城、敢进城、能进城。</w:t>
      </w:r>
      <w:r>
        <w:rPr>
          <w:rFonts w:hint="eastAsia" w:ascii="仿宋_GB2312" w:hAnsi="仿宋_GB2312" w:eastAsia="仿宋_GB2312" w:cs="仿宋_GB2312"/>
          <w:color w:val="auto"/>
          <w:sz w:val="32"/>
          <w:szCs w:val="32"/>
          <w:highlight w:val="none"/>
          <w:u w:val="none"/>
          <w:lang w:val="en-US" w:eastAsia="zh-CN"/>
        </w:rPr>
        <w:t>加快推进</w:t>
      </w:r>
      <w:r>
        <w:rPr>
          <w:rFonts w:hint="eastAsia" w:ascii="仿宋_GB2312" w:hAnsi="仿宋_GB2312" w:eastAsia="仿宋_GB2312" w:cs="仿宋_GB2312"/>
          <w:color w:val="auto"/>
          <w:sz w:val="32"/>
          <w:szCs w:val="32"/>
          <w:highlight w:val="none"/>
          <w:u w:val="none"/>
        </w:rPr>
        <w:t>棚户区改造安置房</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rPr>
        <w:t>老旧小区</w:t>
      </w:r>
      <w:r>
        <w:rPr>
          <w:rFonts w:hint="eastAsia" w:ascii="仿宋_GB2312" w:hAnsi="仿宋_GB2312" w:eastAsia="仿宋_GB2312" w:cs="仿宋_GB2312"/>
          <w:color w:val="auto"/>
          <w:sz w:val="32"/>
          <w:szCs w:val="32"/>
          <w:lang w:val="en-US" w:eastAsia="zh-CN"/>
        </w:rPr>
        <w:t>改造等项目建设。启动实施</w:t>
      </w:r>
      <w:r>
        <w:rPr>
          <w:rFonts w:hint="eastAsia" w:ascii="仿宋_GB2312" w:hAnsi="仿宋_GB2312" w:eastAsia="仿宋_GB2312" w:cs="仿宋_GB2312"/>
          <w:color w:val="auto"/>
          <w:sz w:val="32"/>
          <w:szCs w:val="32"/>
        </w:rPr>
        <w:t>花园城市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主城区排水防涝设施</w:t>
      </w:r>
      <w:r>
        <w:rPr>
          <w:rFonts w:hint="eastAsia" w:ascii="仿宋_GB2312" w:hAnsi="仿宋_GB2312" w:eastAsia="仿宋_GB2312" w:cs="仿宋_GB2312"/>
          <w:color w:val="auto"/>
          <w:sz w:val="32"/>
          <w:szCs w:val="32"/>
          <w:lang w:val="en-US" w:eastAsia="zh-CN"/>
        </w:rPr>
        <w:t>等项目。</w:t>
      </w:r>
      <w:r>
        <w:rPr>
          <w:rFonts w:hint="eastAsia" w:ascii="仿宋_GB2312" w:hAnsi="仿宋_GB2312" w:eastAsia="仿宋_GB2312" w:cs="仿宋_GB2312"/>
          <w:b/>
          <w:bCs/>
          <w:color w:val="auto"/>
          <w:sz w:val="32"/>
          <w:szCs w:val="32"/>
          <w:lang w:val="en-US" w:eastAsia="zh-CN"/>
        </w:rPr>
        <w:t>二要</w:t>
      </w:r>
      <w:r>
        <w:rPr>
          <w:rFonts w:hint="eastAsia" w:ascii="仿宋_GB2312" w:hAnsi="仿宋_GB2312" w:eastAsia="仿宋_GB2312" w:cs="仿宋_GB2312"/>
          <w:b/>
          <w:bCs/>
          <w:color w:val="auto"/>
          <w:sz w:val="32"/>
          <w:szCs w:val="32"/>
          <w:highlight w:val="none"/>
          <w:shd w:val="clear"/>
          <w:lang w:val="en-US" w:eastAsia="zh-CN"/>
        </w:rPr>
        <w:t>有效推动农村城镇化。</w:t>
      </w:r>
      <w:r>
        <w:rPr>
          <w:rFonts w:hint="eastAsia" w:ascii="仿宋_GB2312" w:hAnsi="仿宋_GB2312" w:eastAsia="仿宋_GB2312" w:cs="仿宋_GB2312"/>
          <w:color w:val="auto"/>
          <w:sz w:val="32"/>
          <w:szCs w:val="32"/>
          <w:highlight w:val="none"/>
          <w:u w:val="none"/>
        </w:rPr>
        <w:t>统筹推进城市公共基础设施和公共服务向农村延伸，推动乡村建设行动</w:t>
      </w:r>
      <w:r>
        <w:rPr>
          <w:rFonts w:hint="eastAsia" w:ascii="仿宋_GB2312" w:hAnsi="仿宋_GB2312" w:eastAsia="仿宋_GB2312" w:cs="仿宋_GB2312"/>
          <w:color w:val="auto"/>
          <w:sz w:val="32"/>
          <w:szCs w:val="32"/>
          <w:highlight w:val="none"/>
          <w:u w:val="none"/>
          <w:lang w:val="en-US" w:eastAsia="zh-CN"/>
        </w:rPr>
        <w:t>实施</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围绕机场、高速公路、铁路、二级公路、干线公路等为重点，加快沿路、沿线基础设施建设，培育农村节点经济，繁荣农村线上线下市场。</w:t>
      </w:r>
    </w:p>
    <w:p>
      <w:pPr>
        <w:keepNext w:val="0"/>
        <w:keepLines w:val="0"/>
        <w:pageBreakBefore w:val="0"/>
        <w:widowControl w:val="0"/>
        <w:numPr>
          <w:ilvl w:val="0"/>
          <w:numId w:val="0"/>
        </w:numPr>
        <w:pBdr>
          <w:bottom w:val="single" w:color="FFFFFF" w:sz="4" w:space="28"/>
        </w:pBdr>
        <w:shd w:val="clear"/>
        <w:kinsoku/>
        <w:wordWrap/>
        <w:overflowPunct/>
        <w:topLinePunct w:val="0"/>
        <w:autoSpaceDE/>
        <w:autoSpaceDN/>
        <w:bidi w:val="0"/>
        <w:adjustRightInd/>
        <w:snapToGrid/>
        <w:spacing w:beforeLines="0" w:afterLines="0" w:line="560" w:lineRule="exact"/>
        <w:ind w:left="0" w:leftChars="0" w:right="0" w:rightChars="0" w:firstLine="643" w:firstLineChars="200"/>
        <w:jc w:val="both"/>
        <w:textAlignment w:val="baseline"/>
        <w:outlineLvl w:val="9"/>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kern w:val="0"/>
          <w:sz w:val="32"/>
          <w:szCs w:val="32"/>
          <w:highlight w:val="none"/>
          <w:u w:val="none"/>
          <w:shd w:val="clear"/>
          <w:lang w:val="en-US" w:eastAsia="zh-CN" w:bidi="ar"/>
        </w:rPr>
        <w:t>（六）加快市场主体倍增培育。</w:t>
      </w:r>
      <w:r>
        <w:rPr>
          <w:rFonts w:hint="eastAsia" w:ascii="仿宋_GB2312" w:hAnsi="仿宋_GB2312" w:eastAsia="仿宋_GB2312" w:cs="仿宋_GB2312"/>
          <w:color w:val="auto"/>
          <w:spacing w:val="-6"/>
          <w:sz w:val="32"/>
          <w:szCs w:val="32"/>
          <w:lang w:val="en-US" w:eastAsia="zh-CN"/>
        </w:rPr>
        <w:t>持续推进“放管服”改革，构建亲清政商关系，打造市场化、法治化、国际化营商环境，激发市场活力和社会创造力。全面落实</w:t>
      </w:r>
      <w:r>
        <w:rPr>
          <w:rFonts w:hint="eastAsia" w:ascii="仿宋_GB2312" w:hAnsi="仿宋_GB2312" w:eastAsia="仿宋_GB2312" w:cs="仿宋_GB2312"/>
          <w:color w:val="auto"/>
          <w:spacing w:val="-6"/>
          <w:sz w:val="32"/>
          <w:szCs w:val="32"/>
        </w:rPr>
        <w:t>市场主体倍增“阳光”</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rPr>
        <w:t>“雨露”</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rPr>
        <w:t>“土壤”行动</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lang w:val="en-US" w:eastAsia="zh-CN"/>
        </w:rPr>
        <w:t>制定</w:t>
      </w:r>
      <w:r>
        <w:rPr>
          <w:rFonts w:hint="eastAsia" w:ascii="仿宋_GB2312" w:hAnsi="仿宋_GB2312" w:eastAsia="仿宋_GB2312" w:cs="仿宋_GB2312"/>
          <w:color w:val="auto"/>
          <w:sz w:val="32"/>
          <w:szCs w:val="32"/>
          <w:highlight w:val="none"/>
        </w:rPr>
        <w:t>农业企业、规模以上工业企业、建筑业企业、商贸企业、服务业企业（不含批发零售业和住宿餐饮业企业）、中小微企业、高新技术企业、文化和旅游企业、个体工商户</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个实施方案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rPr>
        <w:t>全区市场主体</w:t>
      </w:r>
      <w:r>
        <w:rPr>
          <w:rFonts w:hint="eastAsia" w:ascii="仿宋_GB2312" w:hAnsi="仿宋_GB2312" w:eastAsia="仿宋_GB2312" w:cs="仿宋_GB2312"/>
          <w:color w:val="auto"/>
          <w:sz w:val="32"/>
          <w:szCs w:val="32"/>
          <w:lang w:val="en-US" w:eastAsia="zh-CN"/>
        </w:rPr>
        <w:t>达38000</w:t>
      </w:r>
      <w:r>
        <w:rPr>
          <w:rFonts w:hint="eastAsia" w:ascii="仿宋_GB2312" w:hAnsi="仿宋_GB2312" w:eastAsia="仿宋_GB2312" w:cs="仿宋_GB2312"/>
          <w:color w:val="auto"/>
          <w:sz w:val="32"/>
          <w:szCs w:val="32"/>
        </w:rPr>
        <w:t>户</w:t>
      </w:r>
      <w:r>
        <w:rPr>
          <w:rFonts w:hint="eastAsia" w:ascii="仿宋_GB2312" w:hAnsi="仿宋_GB2312" w:eastAsia="仿宋_GB2312" w:cs="仿宋_GB2312"/>
          <w:color w:val="auto"/>
          <w:sz w:val="32"/>
          <w:szCs w:val="32"/>
          <w:lang w:eastAsia="zh-CN"/>
        </w:rPr>
        <w:t>以上，</w:t>
      </w:r>
      <w:r>
        <w:rPr>
          <w:rFonts w:hint="eastAsia" w:ascii="仿宋_GB2312" w:hAnsi="仿宋_GB2312" w:eastAsia="仿宋_GB2312" w:cs="仿宋_GB2312"/>
          <w:color w:val="auto"/>
          <w:sz w:val="32"/>
          <w:szCs w:val="32"/>
        </w:rPr>
        <w:t>每千人拥有市场主体</w:t>
      </w:r>
      <w:r>
        <w:rPr>
          <w:rFonts w:hint="eastAsia" w:ascii="仿宋_GB2312" w:hAnsi="仿宋_GB2312" w:eastAsia="仿宋_GB2312" w:cs="仿宋_GB2312"/>
          <w:color w:val="auto"/>
          <w:sz w:val="32"/>
          <w:szCs w:val="32"/>
          <w:lang w:val="en-US" w:eastAsia="zh-CN"/>
        </w:rPr>
        <w:t>102</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val="en-US" w:eastAsia="zh-CN"/>
        </w:rPr>
        <w:t>以上</w:t>
      </w:r>
      <w:r>
        <w:rPr>
          <w:rFonts w:hint="eastAsia" w:ascii="仿宋_GB2312" w:hAnsi="仿宋_GB2312" w:eastAsia="仿宋_GB2312" w:cs="仿宋_GB2312"/>
          <w:color w:val="auto"/>
          <w:sz w:val="32"/>
          <w:szCs w:val="32"/>
          <w:highlight w:val="none"/>
          <w:u w:val="none"/>
          <w:lang w:val="en-US" w:eastAsia="zh-CN"/>
        </w:rPr>
        <w:t>。</w:t>
      </w:r>
      <w:r>
        <w:rPr>
          <w:rFonts w:hint="eastAsia" w:ascii="仿宋_GB2312" w:hAnsi="仿宋_GB2312" w:eastAsia="仿宋_GB2312" w:cs="仿宋_GB2312"/>
          <w:color w:val="auto"/>
          <w:spacing w:val="-6"/>
          <w:sz w:val="32"/>
          <w:szCs w:val="32"/>
          <w:lang w:val="en-US" w:eastAsia="zh-CN"/>
        </w:rPr>
        <w:t>新培育规上限上企业33户，其中：规上工业3户、资质以上建筑业7户、批发业3户，零售业3户，住宿业3户，餐饮业5户，重点服务业9户以上。</w:t>
      </w:r>
    </w:p>
    <w:p>
      <w:pPr>
        <w:keepNext w:val="0"/>
        <w:keepLines w:val="0"/>
        <w:pageBreakBefore w:val="0"/>
        <w:widowControl w:val="0"/>
        <w:numPr>
          <w:ilvl w:val="0"/>
          <w:numId w:val="0"/>
        </w:numPr>
        <w:pBdr>
          <w:bottom w:val="single" w:color="FFFFFF" w:sz="4" w:space="28"/>
        </w:pBdr>
        <w:shd w:val="clear"/>
        <w:kinsoku/>
        <w:wordWrap/>
        <w:overflowPunct/>
        <w:topLinePunct w:val="0"/>
        <w:autoSpaceDE/>
        <w:autoSpaceDN/>
        <w:bidi w:val="0"/>
        <w:adjustRightInd/>
        <w:snapToGrid/>
        <w:spacing w:line="560" w:lineRule="exact"/>
        <w:ind w:left="0" w:leftChars="0" w:right="0" w:rightChars="0" w:firstLine="643" w:firstLineChars="200"/>
        <w:jc w:val="both"/>
        <w:textAlignment w:val="baseline"/>
        <w:outlineLvl w:val="9"/>
        <w:rPr>
          <w:rFonts w:hint="eastAsia" w:ascii="仿宋_GB2312" w:hAnsi="仿宋_GB2312" w:eastAsia="仿宋_GB2312" w:cs="仿宋_GB2312"/>
          <w:b w:val="0"/>
          <w:bCs w:val="0"/>
          <w:color w:val="auto"/>
          <w:kern w:val="0"/>
          <w:sz w:val="32"/>
          <w:szCs w:val="32"/>
          <w:highlight w:val="none"/>
          <w:shd w:val="clear"/>
          <w:lang w:val="en-US" w:eastAsia="zh-CN" w:bidi="ar"/>
        </w:rPr>
      </w:pPr>
      <w:r>
        <w:rPr>
          <w:rFonts w:hint="eastAsia" w:ascii="楷体_GB2312" w:hAnsi="楷体_GB2312" w:eastAsia="楷体_GB2312" w:cs="楷体_GB2312"/>
          <w:b/>
          <w:bCs/>
          <w:color w:val="auto"/>
          <w:kern w:val="0"/>
          <w:sz w:val="32"/>
          <w:szCs w:val="32"/>
          <w:highlight w:val="none"/>
          <w:u w:val="none"/>
          <w:shd w:val="clear"/>
          <w:lang w:val="en-US" w:eastAsia="zh-CN" w:bidi="ar"/>
        </w:rPr>
        <w:t>（七）全面推进生态临翔建设。</w:t>
      </w:r>
      <w:r>
        <w:rPr>
          <w:rFonts w:hint="eastAsia" w:ascii="仿宋_GB2312" w:hAnsi="仿宋_GB2312" w:eastAsia="仿宋_GB2312" w:cs="仿宋_GB2312"/>
          <w:b/>
          <w:bCs/>
          <w:color w:val="auto"/>
          <w:sz w:val="32"/>
          <w:szCs w:val="32"/>
          <w:highlight w:val="none"/>
          <w:shd w:val="clear"/>
          <w:lang w:val="en-US" w:eastAsia="zh-CN"/>
        </w:rPr>
        <w:t>一要</w:t>
      </w:r>
      <w:r>
        <w:rPr>
          <w:rFonts w:hint="eastAsia" w:ascii="仿宋_GB2312" w:hAnsi="仿宋_GB2312" w:eastAsia="仿宋_GB2312" w:cs="仿宋_GB2312"/>
          <w:b/>
          <w:bCs/>
          <w:color w:val="auto"/>
          <w:sz w:val="32"/>
          <w:szCs w:val="32"/>
          <w:highlight w:val="none"/>
          <w:u w:val="none"/>
          <w:lang w:bidi="ar"/>
        </w:rPr>
        <w:t>全面深化污染防治攻坚战</w:t>
      </w:r>
      <w:r>
        <w:rPr>
          <w:rFonts w:hint="eastAsia" w:ascii="仿宋_GB2312" w:hAnsi="仿宋_GB2312" w:eastAsia="仿宋_GB2312" w:cs="仿宋_GB2312"/>
          <w:color w:val="auto"/>
          <w:sz w:val="32"/>
          <w:szCs w:val="32"/>
          <w:highlight w:val="none"/>
          <w:u w:val="none"/>
          <w:lang w:bidi="ar"/>
        </w:rPr>
        <w:t>。</w:t>
      </w:r>
      <w:r>
        <w:rPr>
          <w:rFonts w:hint="eastAsia" w:ascii="仿宋_GB2312" w:hAnsi="仿宋_GB2312" w:eastAsia="仿宋_GB2312" w:cs="仿宋_GB2312"/>
          <w:b w:val="0"/>
          <w:bCs w:val="0"/>
          <w:color w:val="auto"/>
          <w:kern w:val="2"/>
          <w:sz w:val="32"/>
          <w:szCs w:val="32"/>
          <w:highlight w:val="none"/>
          <w:u w:val="none"/>
          <w:lang w:val="en-US" w:eastAsia="zh-CN" w:bidi="ar"/>
        </w:rPr>
        <w:t>切实</w:t>
      </w:r>
      <w:r>
        <w:rPr>
          <w:rFonts w:hint="eastAsia" w:ascii="仿宋_GB2312" w:hAnsi="仿宋_GB2312" w:eastAsia="仿宋_GB2312" w:cs="仿宋_GB2312"/>
          <w:b w:val="0"/>
          <w:bCs w:val="0"/>
          <w:color w:val="auto"/>
          <w:kern w:val="2"/>
          <w:sz w:val="32"/>
          <w:szCs w:val="32"/>
          <w:highlight w:val="none"/>
          <w:u w:val="none"/>
          <w:shd w:val="clear"/>
          <w:lang w:val="en-US" w:eastAsia="zh-CN" w:bidi="ar"/>
        </w:rPr>
        <w:t>加强南汀河和西河污水排放、</w:t>
      </w:r>
      <w:r>
        <w:rPr>
          <w:rFonts w:hint="eastAsia" w:ascii="仿宋_GB2312" w:hAnsi="仿宋_GB2312" w:eastAsia="仿宋_GB2312" w:cs="仿宋_GB2312"/>
          <w:color w:val="auto"/>
          <w:kern w:val="2"/>
          <w:sz w:val="32"/>
          <w:szCs w:val="32"/>
          <w:highlight w:val="none"/>
          <w:u w:val="none"/>
          <w:shd w:val="clear"/>
          <w:lang w:val="en-US" w:eastAsia="zh-CN" w:bidi="ar"/>
        </w:rPr>
        <w:t>面源污染、采砂采石等整治工作。推进标准化工地“6个100％”管理，确保城市空气质量优良天数比率均保持在98%以上。</w:t>
      </w:r>
      <w:r>
        <w:rPr>
          <w:rFonts w:hint="eastAsia" w:ascii="仿宋_GB2312" w:hAnsi="仿宋_GB2312" w:eastAsia="仿宋_GB2312" w:cs="仿宋_GB2312"/>
          <w:b w:val="0"/>
          <w:bCs w:val="0"/>
          <w:color w:val="auto"/>
          <w:kern w:val="0"/>
          <w:sz w:val="32"/>
          <w:szCs w:val="32"/>
          <w:highlight w:val="none"/>
          <w:shd w:val="clear"/>
          <w:lang w:val="en-US" w:eastAsia="zh-CN" w:bidi="ar"/>
        </w:rPr>
        <w:t>持续加快推进老旧小区改造和城区雨污分流建设。</w:t>
      </w:r>
      <w:r>
        <w:rPr>
          <w:rFonts w:hint="eastAsia" w:ascii="仿宋_GB2312" w:hAnsi="仿宋_GB2312" w:eastAsia="仿宋_GB2312" w:cs="仿宋_GB2312"/>
          <w:color w:val="auto"/>
          <w:kern w:val="0"/>
          <w:sz w:val="32"/>
          <w:szCs w:val="32"/>
          <w:highlight w:val="none"/>
          <w:shd w:val="clear"/>
          <w:lang w:val="en-US" w:eastAsia="zh-CN" w:bidi="ar"/>
        </w:rPr>
        <w:t>加快污水处理厂提标改造实施，启动细嘎污水处理厂、忙岗大桥往下污水处理厂等项目前期工作，确保2022年底前污水集中收集率提升15个百分点。</w:t>
      </w:r>
      <w:r>
        <w:rPr>
          <w:rFonts w:hint="eastAsia" w:ascii="仿宋_GB2312" w:hAnsi="仿宋_GB2312" w:eastAsia="仿宋_GB2312" w:cs="仿宋_GB2312"/>
          <w:b/>
          <w:bCs/>
          <w:color w:val="auto"/>
          <w:kern w:val="0"/>
          <w:sz w:val="32"/>
          <w:szCs w:val="32"/>
          <w:highlight w:val="none"/>
          <w:shd w:val="clear"/>
          <w:lang w:val="en-US" w:eastAsia="zh-CN" w:bidi="ar"/>
        </w:rPr>
        <w:t>二要</w:t>
      </w:r>
      <w:r>
        <w:rPr>
          <w:rFonts w:hint="eastAsia" w:ascii="仿宋_GB2312" w:hAnsi="仿宋_GB2312" w:eastAsia="仿宋_GB2312" w:cs="仿宋_GB2312"/>
          <w:b/>
          <w:bCs/>
          <w:color w:val="auto"/>
          <w:kern w:val="0"/>
          <w:sz w:val="32"/>
          <w:szCs w:val="32"/>
          <w:highlight w:val="none"/>
          <w:lang w:bidi="ar"/>
        </w:rPr>
        <w:t>全面推进绿色低碳发展</w:t>
      </w:r>
      <w:r>
        <w:rPr>
          <w:rFonts w:hint="eastAsia" w:ascii="仿宋_GB2312" w:hAnsi="仿宋_GB2312" w:eastAsia="仿宋_GB2312" w:cs="仿宋_GB2312"/>
          <w:color w:val="auto"/>
          <w:kern w:val="0"/>
          <w:sz w:val="32"/>
          <w:szCs w:val="32"/>
          <w:highlight w:val="none"/>
          <w:lang w:eastAsia="zh-CN" w:bidi="ar"/>
        </w:rPr>
        <w:t>。</w:t>
      </w:r>
      <w:r>
        <w:rPr>
          <w:rFonts w:hint="eastAsia" w:ascii="仿宋_GB2312" w:hAnsi="仿宋_GB2312" w:eastAsia="仿宋_GB2312" w:cs="仿宋_GB2312"/>
          <w:color w:val="auto"/>
          <w:kern w:val="0"/>
          <w:sz w:val="32"/>
          <w:szCs w:val="32"/>
          <w:highlight w:val="none"/>
          <w:lang w:bidi="ar"/>
        </w:rPr>
        <w:t>持续推动产业结构、能源结构、交通运输结构、农业结构绿色转型，加快实现生产生活方式绿色变革。开展绿色生活创建行动，推进绿色产品认证、标识体系建设，营造绿色低碳生活新时尚</w:t>
      </w:r>
      <w:r>
        <w:rPr>
          <w:rFonts w:hint="eastAsia" w:ascii="仿宋_GB2312" w:hAnsi="仿宋_GB2312" w:eastAsia="仿宋_GB2312" w:cs="仿宋_GB2312"/>
          <w:color w:val="auto"/>
          <w:kern w:val="0"/>
          <w:sz w:val="32"/>
          <w:szCs w:val="32"/>
          <w:highlight w:val="none"/>
          <w:lang w:eastAsia="zh-CN" w:bidi="ar"/>
        </w:rPr>
        <w:t>。</w:t>
      </w:r>
      <w:r>
        <w:rPr>
          <w:rFonts w:hint="eastAsia" w:ascii="仿宋_GB2312" w:hAnsi="仿宋_GB2312" w:eastAsia="仿宋_GB2312" w:cs="仿宋_GB2312"/>
          <w:b/>
          <w:bCs/>
          <w:color w:val="auto"/>
          <w:kern w:val="0"/>
          <w:sz w:val="32"/>
          <w:szCs w:val="32"/>
          <w:highlight w:val="none"/>
          <w:lang w:val="en-US" w:eastAsia="zh-CN" w:bidi="ar"/>
        </w:rPr>
        <w:t>三要</w:t>
      </w:r>
      <w:r>
        <w:rPr>
          <w:rFonts w:hint="eastAsia" w:ascii="仿宋_GB2312" w:hAnsi="仿宋_GB2312" w:eastAsia="仿宋_GB2312" w:cs="仿宋_GB2312"/>
          <w:b/>
          <w:bCs/>
          <w:color w:val="auto"/>
          <w:kern w:val="0"/>
          <w:sz w:val="32"/>
          <w:szCs w:val="32"/>
          <w:highlight w:val="none"/>
          <w:lang w:bidi="ar"/>
        </w:rPr>
        <w:t>落实生态环境保护责任</w:t>
      </w:r>
      <w:r>
        <w:rPr>
          <w:rFonts w:hint="eastAsia" w:ascii="仿宋_GB2312" w:hAnsi="仿宋_GB2312" w:eastAsia="仿宋_GB2312" w:cs="仿宋_GB2312"/>
          <w:b/>
          <w:bCs/>
          <w:color w:val="auto"/>
          <w:kern w:val="0"/>
          <w:sz w:val="32"/>
          <w:szCs w:val="32"/>
          <w:highlight w:val="none"/>
          <w:lang w:eastAsia="zh-CN" w:bidi="ar"/>
        </w:rPr>
        <w:t>。</w:t>
      </w:r>
      <w:r>
        <w:rPr>
          <w:rFonts w:hint="eastAsia" w:ascii="仿宋_GB2312" w:hAnsi="仿宋_GB2312" w:eastAsia="仿宋_GB2312" w:cs="仿宋_GB2312"/>
          <w:b w:val="0"/>
          <w:bCs w:val="0"/>
          <w:color w:val="auto"/>
          <w:kern w:val="0"/>
          <w:sz w:val="32"/>
          <w:szCs w:val="32"/>
          <w:highlight w:val="none"/>
          <w:lang w:val="en-US" w:eastAsia="zh-CN" w:bidi="ar"/>
        </w:rPr>
        <w:t>健全完善河长、湖长、山长、林长等考核机制，落实</w:t>
      </w:r>
      <w:r>
        <w:rPr>
          <w:rFonts w:hint="eastAsia" w:ascii="仿宋_GB2312" w:hAnsi="仿宋_GB2312" w:eastAsia="仿宋_GB2312" w:cs="仿宋_GB2312"/>
          <w:color w:val="auto"/>
          <w:kern w:val="0"/>
          <w:sz w:val="32"/>
          <w:szCs w:val="32"/>
          <w:highlight w:val="none"/>
          <w:lang w:bidi="ar"/>
        </w:rPr>
        <w:t>区级有关部门和单位生态环境保护责任清单</w:t>
      </w:r>
      <w:r>
        <w:rPr>
          <w:rFonts w:hint="eastAsia" w:ascii="仿宋_GB2312" w:hAnsi="仿宋_GB2312" w:eastAsia="仿宋_GB2312" w:cs="仿宋_GB2312"/>
          <w:b w:val="0"/>
          <w:bCs w:val="0"/>
          <w:color w:val="auto"/>
          <w:kern w:val="0"/>
          <w:sz w:val="32"/>
          <w:szCs w:val="32"/>
          <w:highlight w:val="none"/>
          <w:lang w:val="en-US" w:eastAsia="zh-CN" w:bidi="ar"/>
        </w:rPr>
        <w:t>。抓好</w:t>
      </w:r>
      <w:r>
        <w:rPr>
          <w:rFonts w:hint="eastAsia" w:ascii="仿宋_GB2312" w:hAnsi="仿宋_GB2312" w:eastAsia="仿宋_GB2312" w:cs="仿宋_GB2312"/>
          <w:color w:val="auto"/>
          <w:kern w:val="0"/>
          <w:sz w:val="32"/>
          <w:szCs w:val="32"/>
          <w:highlight w:val="none"/>
          <w:lang w:bidi="ar"/>
        </w:rPr>
        <w:t>大气环境质量底线</w:t>
      </w:r>
      <w:r>
        <w:rPr>
          <w:rFonts w:hint="eastAsia" w:ascii="仿宋_GB2312" w:hAnsi="仿宋_GB2312" w:eastAsia="仿宋_GB2312" w:cs="仿宋_GB2312"/>
          <w:b w:val="0"/>
          <w:bCs w:val="0"/>
          <w:color w:val="auto"/>
          <w:kern w:val="0"/>
          <w:sz w:val="32"/>
          <w:szCs w:val="32"/>
          <w:highlight w:val="none"/>
          <w:lang w:val="en-US" w:eastAsia="zh-CN" w:bidi="ar"/>
        </w:rPr>
        <w:t>落实</w:t>
      </w:r>
      <w:r>
        <w:rPr>
          <w:rFonts w:hint="eastAsia" w:ascii="仿宋_GB2312" w:hAnsi="仿宋_GB2312" w:eastAsia="仿宋_GB2312" w:cs="仿宋_GB2312"/>
          <w:b w:val="0"/>
          <w:bCs w:val="0"/>
          <w:color w:val="auto"/>
          <w:kern w:val="0"/>
          <w:sz w:val="32"/>
          <w:szCs w:val="32"/>
          <w:highlight w:val="none"/>
          <w:lang w:eastAsia="zh-CN" w:bidi="ar"/>
        </w:rPr>
        <w:t>，</w:t>
      </w:r>
      <w:r>
        <w:rPr>
          <w:rFonts w:hint="eastAsia" w:ascii="仿宋_GB2312" w:hAnsi="仿宋_GB2312" w:eastAsia="仿宋_GB2312" w:cs="仿宋_GB2312"/>
          <w:b w:val="0"/>
          <w:bCs w:val="0"/>
          <w:color w:val="auto"/>
          <w:kern w:val="0"/>
          <w:sz w:val="32"/>
          <w:szCs w:val="32"/>
          <w:highlight w:val="none"/>
          <w:lang w:val="en-US" w:eastAsia="zh-CN" w:bidi="ar"/>
        </w:rPr>
        <w:t>持续保持优质</w:t>
      </w:r>
      <w:r>
        <w:rPr>
          <w:rFonts w:hint="eastAsia" w:ascii="仿宋_GB2312" w:hAnsi="仿宋_GB2312" w:eastAsia="仿宋_GB2312" w:cs="仿宋_GB2312"/>
          <w:color w:val="auto"/>
          <w:kern w:val="0"/>
          <w:sz w:val="32"/>
          <w:szCs w:val="32"/>
          <w:highlight w:val="none"/>
          <w:lang w:bidi="ar"/>
        </w:rPr>
        <w:t>空气</w:t>
      </w:r>
      <w:r>
        <w:rPr>
          <w:rFonts w:hint="eastAsia" w:ascii="仿宋_GB2312" w:hAnsi="仿宋_GB2312" w:eastAsia="仿宋_GB2312" w:cs="仿宋_GB2312"/>
          <w:b w:val="0"/>
          <w:bCs w:val="0"/>
          <w:color w:val="auto"/>
          <w:kern w:val="0"/>
          <w:sz w:val="32"/>
          <w:szCs w:val="32"/>
          <w:highlight w:val="none"/>
          <w:lang w:eastAsia="zh-CN" w:bidi="ar"/>
        </w:rPr>
        <w:t>；</w:t>
      </w:r>
      <w:r>
        <w:rPr>
          <w:rFonts w:hint="eastAsia" w:ascii="仿宋_GB2312" w:hAnsi="仿宋_GB2312" w:eastAsia="仿宋_GB2312" w:cs="仿宋_GB2312"/>
          <w:b w:val="0"/>
          <w:bCs w:val="0"/>
          <w:color w:val="auto"/>
          <w:kern w:val="0"/>
          <w:sz w:val="32"/>
          <w:szCs w:val="32"/>
          <w:highlight w:val="none"/>
          <w:lang w:val="en-US" w:eastAsia="zh-CN" w:bidi="ar"/>
        </w:rPr>
        <w:t>抓好</w:t>
      </w:r>
      <w:r>
        <w:rPr>
          <w:rFonts w:hint="eastAsia" w:ascii="仿宋_GB2312" w:hAnsi="仿宋_GB2312" w:eastAsia="仿宋_GB2312" w:cs="仿宋_GB2312"/>
          <w:color w:val="auto"/>
          <w:kern w:val="0"/>
          <w:sz w:val="32"/>
          <w:szCs w:val="32"/>
          <w:highlight w:val="none"/>
          <w:lang w:bidi="ar"/>
        </w:rPr>
        <w:t>土壤环境风险防控底线</w:t>
      </w:r>
      <w:r>
        <w:rPr>
          <w:rFonts w:hint="eastAsia" w:ascii="仿宋_GB2312" w:hAnsi="仿宋_GB2312" w:eastAsia="仿宋_GB2312" w:cs="仿宋_GB2312"/>
          <w:b w:val="0"/>
          <w:bCs w:val="0"/>
          <w:color w:val="auto"/>
          <w:kern w:val="0"/>
          <w:sz w:val="32"/>
          <w:szCs w:val="32"/>
          <w:highlight w:val="none"/>
          <w:lang w:val="en-US" w:eastAsia="zh-CN" w:bidi="ar"/>
        </w:rPr>
        <w:t>落实</w:t>
      </w:r>
      <w:r>
        <w:rPr>
          <w:rFonts w:hint="eastAsia" w:ascii="仿宋_GB2312" w:hAnsi="仿宋_GB2312" w:eastAsia="仿宋_GB2312" w:cs="仿宋_GB2312"/>
          <w:b w:val="0"/>
          <w:bCs w:val="0"/>
          <w:color w:val="auto"/>
          <w:kern w:val="0"/>
          <w:sz w:val="32"/>
          <w:szCs w:val="32"/>
          <w:highlight w:val="none"/>
          <w:lang w:eastAsia="zh-CN" w:bidi="ar"/>
        </w:rPr>
        <w:t>，</w:t>
      </w:r>
      <w:r>
        <w:rPr>
          <w:rFonts w:hint="eastAsia" w:ascii="仿宋_GB2312" w:hAnsi="仿宋_GB2312" w:eastAsia="仿宋_GB2312" w:cs="仿宋_GB2312"/>
          <w:b w:val="0"/>
          <w:bCs w:val="0"/>
          <w:color w:val="auto"/>
          <w:kern w:val="0"/>
          <w:sz w:val="32"/>
          <w:szCs w:val="32"/>
          <w:highlight w:val="none"/>
          <w:lang w:bidi="ar"/>
        </w:rPr>
        <w:t>有效保障</w:t>
      </w:r>
      <w:r>
        <w:rPr>
          <w:rFonts w:hint="eastAsia" w:ascii="仿宋_GB2312" w:hAnsi="仿宋_GB2312" w:eastAsia="仿宋_GB2312" w:cs="仿宋_GB2312"/>
          <w:color w:val="auto"/>
          <w:kern w:val="0"/>
          <w:sz w:val="32"/>
          <w:szCs w:val="32"/>
          <w:highlight w:val="none"/>
          <w:lang w:bidi="ar"/>
        </w:rPr>
        <w:t>农用地和建设用地土壤环境安全</w:t>
      </w:r>
      <w:r>
        <w:rPr>
          <w:rFonts w:hint="eastAsia" w:ascii="仿宋_GB2312" w:hAnsi="仿宋_GB2312" w:eastAsia="仿宋_GB2312" w:cs="仿宋_GB2312"/>
          <w:b w:val="0"/>
          <w:bCs w:val="0"/>
          <w:color w:val="auto"/>
          <w:kern w:val="0"/>
          <w:sz w:val="32"/>
          <w:szCs w:val="32"/>
          <w:highlight w:val="none"/>
          <w:lang w:eastAsia="zh-CN" w:bidi="ar"/>
        </w:rPr>
        <w:t>。持续加大森林防火基础设施建设，</w:t>
      </w:r>
      <w:r>
        <w:rPr>
          <w:rFonts w:hint="eastAsia" w:ascii="仿宋_GB2312" w:hAnsi="仿宋_GB2312" w:eastAsia="仿宋_GB2312" w:cs="仿宋_GB2312"/>
          <w:b w:val="0"/>
          <w:bCs w:val="0"/>
          <w:color w:val="auto"/>
          <w:kern w:val="0"/>
          <w:sz w:val="32"/>
          <w:szCs w:val="32"/>
          <w:highlight w:val="none"/>
          <w:lang w:val="en-US" w:eastAsia="zh-CN" w:bidi="ar"/>
        </w:rPr>
        <w:t>严格查处破坏土地、森林、水资源等违法案件。抓好</w:t>
      </w:r>
      <w:r>
        <w:rPr>
          <w:rFonts w:hint="eastAsia" w:ascii="仿宋_GB2312" w:hAnsi="仿宋_GB2312" w:eastAsia="仿宋_GB2312" w:cs="仿宋_GB2312"/>
          <w:color w:val="auto"/>
          <w:kern w:val="0"/>
          <w:sz w:val="32"/>
          <w:szCs w:val="32"/>
          <w:highlight w:val="none"/>
          <w:lang w:bidi="ar"/>
        </w:rPr>
        <w:t>水环境质量底线</w:t>
      </w:r>
      <w:r>
        <w:rPr>
          <w:rFonts w:hint="eastAsia" w:ascii="仿宋_GB2312" w:hAnsi="仿宋_GB2312" w:eastAsia="仿宋_GB2312" w:cs="仿宋_GB2312"/>
          <w:b w:val="0"/>
          <w:bCs w:val="0"/>
          <w:color w:val="auto"/>
          <w:kern w:val="0"/>
          <w:sz w:val="32"/>
          <w:szCs w:val="32"/>
          <w:highlight w:val="none"/>
          <w:lang w:val="en-US" w:eastAsia="zh-CN" w:bidi="ar"/>
        </w:rPr>
        <w:t>落实</w:t>
      </w:r>
      <w:r>
        <w:rPr>
          <w:rFonts w:hint="eastAsia" w:ascii="仿宋_GB2312" w:hAnsi="仿宋_GB2312" w:eastAsia="仿宋_GB2312" w:cs="仿宋_GB2312"/>
          <w:b w:val="0"/>
          <w:bCs w:val="0"/>
          <w:color w:val="auto"/>
          <w:kern w:val="0"/>
          <w:sz w:val="32"/>
          <w:szCs w:val="32"/>
          <w:highlight w:val="none"/>
          <w:lang w:eastAsia="zh-CN" w:bidi="ar"/>
        </w:rPr>
        <w:t>，</w:t>
      </w:r>
      <w:r>
        <w:rPr>
          <w:rFonts w:hint="eastAsia" w:ascii="仿宋_GB2312" w:hAnsi="仿宋_GB2312" w:eastAsia="仿宋_GB2312" w:cs="仿宋_GB2312"/>
          <w:b w:val="0"/>
          <w:bCs w:val="0"/>
          <w:color w:val="auto"/>
          <w:kern w:val="0"/>
          <w:sz w:val="32"/>
          <w:szCs w:val="32"/>
          <w:highlight w:val="none"/>
          <w:lang w:val="en-US" w:eastAsia="zh-CN" w:bidi="ar"/>
        </w:rPr>
        <w:t>提升水生态恢复成效，年内建成美丽河流2条（段）、美丽水库3个。</w:t>
      </w:r>
    </w:p>
    <w:p>
      <w:pPr>
        <w:keepNext w:val="0"/>
        <w:keepLines w:val="0"/>
        <w:pageBreakBefore w:val="0"/>
        <w:widowControl w:val="0"/>
        <w:numPr>
          <w:ilvl w:val="0"/>
          <w:numId w:val="0"/>
        </w:numPr>
        <w:pBdr>
          <w:bottom w:val="single" w:color="FFFFFF" w:sz="4" w:space="28"/>
        </w:pBdr>
        <w:shd w:val="clear"/>
        <w:kinsoku/>
        <w:wordWrap/>
        <w:overflowPunct/>
        <w:topLinePunct w:val="0"/>
        <w:autoSpaceDE/>
        <w:autoSpaceDN/>
        <w:bidi w:val="0"/>
        <w:adjustRightInd/>
        <w:snapToGrid/>
        <w:spacing w:line="560" w:lineRule="exact"/>
        <w:ind w:left="0" w:leftChars="0" w:right="0" w:rightChars="0" w:firstLine="643" w:firstLineChars="200"/>
        <w:jc w:val="both"/>
        <w:textAlignment w:val="baseline"/>
        <w:outlineLvl w:val="9"/>
        <w:rPr>
          <w:rStyle w:val="13"/>
          <w:rFonts w:hint="eastAsia" w:ascii="仿宋_GB2312" w:hAnsi="仿宋_GB2312" w:eastAsia="仿宋_GB2312" w:cs="仿宋_GB2312"/>
          <w:color w:val="auto"/>
        </w:rPr>
      </w:pPr>
      <w:r>
        <w:rPr>
          <w:rFonts w:hint="eastAsia" w:ascii="楷体_GB2312" w:hAnsi="楷体_GB2312" w:eastAsia="楷体_GB2312" w:cs="楷体_GB2312"/>
          <w:b/>
          <w:bCs/>
          <w:color w:val="auto"/>
          <w:kern w:val="0"/>
          <w:sz w:val="32"/>
          <w:szCs w:val="32"/>
          <w:highlight w:val="none"/>
          <w:u w:val="none"/>
          <w:shd w:val="clear"/>
          <w:lang w:val="en-US" w:eastAsia="zh-CN" w:bidi="ar"/>
        </w:rPr>
        <w:t>（八）全面融入新发展格局。</w:t>
      </w:r>
      <w:r>
        <w:rPr>
          <w:rFonts w:hint="eastAsia" w:ascii="仿宋_GB2312" w:hAnsi="仿宋_GB2312" w:eastAsia="仿宋_GB2312" w:cs="仿宋_GB2312"/>
          <w:b w:val="0"/>
          <w:bCs w:val="0"/>
          <w:color w:val="auto"/>
          <w:kern w:val="0"/>
          <w:sz w:val="32"/>
          <w:szCs w:val="32"/>
          <w:highlight w:val="none"/>
          <w:shd w:val="clear"/>
          <w:lang w:val="en-US" w:eastAsia="zh-CN" w:bidi="ar"/>
        </w:rPr>
        <w:t>坚持“</w:t>
      </w:r>
      <w:r>
        <w:rPr>
          <w:rFonts w:hint="eastAsia" w:ascii="仿宋_GB2312" w:hAnsi="仿宋_GB2312" w:eastAsia="仿宋_GB2312" w:cs="仿宋_GB2312"/>
          <w:color w:val="auto"/>
          <w:kern w:val="0"/>
          <w:sz w:val="32"/>
          <w:szCs w:val="32"/>
          <w:highlight w:val="none"/>
          <w:lang w:val="en-US" w:eastAsia="zh-CN" w:bidi="ar"/>
        </w:rPr>
        <w:t>临沧经济要发展，优势在区位、出路在开放</w:t>
      </w:r>
      <w:r>
        <w:rPr>
          <w:rFonts w:hint="eastAsia" w:ascii="仿宋_GB2312" w:hAnsi="仿宋_GB2312" w:eastAsia="仿宋_GB2312" w:cs="仿宋_GB2312"/>
          <w:b w:val="0"/>
          <w:bCs w:val="0"/>
          <w:color w:val="auto"/>
          <w:kern w:val="0"/>
          <w:sz w:val="32"/>
          <w:szCs w:val="32"/>
          <w:highlight w:val="none"/>
          <w:shd w:val="clear"/>
          <w:lang w:val="en-US" w:eastAsia="zh-CN" w:bidi="ar"/>
        </w:rPr>
        <w:t>”的理念，</w:t>
      </w:r>
      <w:r>
        <w:rPr>
          <w:rStyle w:val="13"/>
          <w:rFonts w:hint="eastAsia" w:ascii="仿宋_GB2312" w:hAnsi="仿宋_GB2312" w:eastAsia="仿宋_GB2312" w:cs="仿宋_GB2312"/>
          <w:color w:val="auto"/>
          <w:kern w:val="0"/>
          <w:sz w:val="32"/>
          <w:szCs w:val="32"/>
          <w:highlight w:val="none"/>
          <w:lang w:val="en-US" w:bidi="ar"/>
        </w:rPr>
        <w:t>找准临翔在国内大循环和国内国际双循环中的位置，坚定</w:t>
      </w:r>
      <w:r>
        <w:rPr>
          <w:rStyle w:val="13"/>
          <w:rFonts w:hint="eastAsia" w:ascii="仿宋_GB2312" w:hAnsi="仿宋_GB2312" w:eastAsia="仿宋_GB2312" w:cs="仿宋_GB2312"/>
          <w:color w:val="auto"/>
          <w:kern w:val="0"/>
          <w:sz w:val="32"/>
          <w:szCs w:val="32"/>
          <w:highlight w:val="none"/>
          <w:lang w:val="en-US" w:eastAsia="zh-CN" w:bidi="ar"/>
        </w:rPr>
        <w:t>融入国内国际双循环新发展格局</w:t>
      </w:r>
      <w:r>
        <w:rPr>
          <w:rStyle w:val="13"/>
          <w:rFonts w:hint="eastAsia" w:ascii="仿宋_GB2312" w:hAnsi="仿宋_GB2312" w:eastAsia="仿宋_GB2312" w:cs="仿宋_GB2312"/>
          <w:color w:val="auto"/>
          <w:kern w:val="0"/>
          <w:sz w:val="32"/>
          <w:szCs w:val="32"/>
          <w:highlight w:val="none"/>
          <w:lang w:val="en-US" w:bidi="ar"/>
        </w:rPr>
        <w:t>。</w:t>
      </w:r>
      <w:r>
        <w:rPr>
          <w:rStyle w:val="13"/>
          <w:rFonts w:hint="eastAsia" w:ascii="仿宋_GB2312" w:hAnsi="仿宋_GB2312" w:eastAsia="仿宋_GB2312" w:cs="仿宋_GB2312"/>
          <w:b/>
          <w:bCs/>
          <w:color w:val="auto"/>
          <w:kern w:val="0"/>
          <w:sz w:val="32"/>
          <w:szCs w:val="32"/>
          <w:highlight w:val="none"/>
          <w:lang w:val="en-US" w:eastAsia="zh-CN" w:bidi="ar"/>
        </w:rPr>
        <w:t>一要建设现代综合物流体系</w:t>
      </w:r>
      <w:r>
        <w:rPr>
          <w:rStyle w:val="13"/>
          <w:rFonts w:hint="eastAsia" w:ascii="仿宋_GB2312" w:hAnsi="仿宋_GB2312" w:eastAsia="仿宋_GB2312" w:cs="仿宋_GB2312"/>
          <w:color w:val="auto"/>
          <w:kern w:val="0"/>
          <w:sz w:val="32"/>
          <w:szCs w:val="32"/>
          <w:highlight w:val="none"/>
          <w:lang w:val="en-US" w:eastAsia="zh-CN" w:bidi="ar"/>
        </w:rPr>
        <w:t>。加快推进三条跨县区高速公路、临沧火车站物流园区、</w:t>
      </w:r>
      <w:r>
        <w:rPr>
          <w:rStyle w:val="13"/>
          <w:rFonts w:hint="eastAsia" w:ascii="仿宋_GB2312" w:hAnsi="仿宋_GB2312" w:eastAsia="仿宋_GB2312" w:cs="仿宋_GB2312"/>
          <w:color w:val="auto"/>
          <w:kern w:val="0"/>
          <w:sz w:val="32"/>
          <w:szCs w:val="32"/>
          <w:highlight w:val="none"/>
          <w:lang w:bidi="ar"/>
        </w:rPr>
        <w:t>勐托物流园区</w:t>
      </w:r>
      <w:r>
        <w:rPr>
          <w:rStyle w:val="13"/>
          <w:rFonts w:hint="eastAsia" w:ascii="仿宋_GB2312" w:hAnsi="仿宋_GB2312" w:eastAsia="仿宋_GB2312" w:cs="仿宋_GB2312"/>
          <w:color w:val="auto"/>
          <w:kern w:val="0"/>
          <w:sz w:val="32"/>
          <w:szCs w:val="32"/>
          <w:highlight w:val="none"/>
          <w:lang w:val="en-US" w:eastAsia="zh-CN" w:bidi="ar"/>
        </w:rPr>
        <w:t>等项目建设；</w:t>
      </w:r>
      <w:r>
        <w:rPr>
          <w:rStyle w:val="13"/>
          <w:rFonts w:hint="eastAsia" w:ascii="仿宋_GB2312" w:hAnsi="仿宋_GB2312" w:eastAsia="仿宋_GB2312" w:cs="仿宋_GB2312"/>
          <w:color w:val="auto"/>
          <w:kern w:val="0"/>
          <w:sz w:val="32"/>
          <w:szCs w:val="32"/>
          <w:highlight w:val="none"/>
          <w:lang w:bidi="ar"/>
        </w:rPr>
        <w:t>发展集装箱海公铁联运、大宗货物物流枢纽，构建“通道+枢纽+网络+平台”的现代物流运行体系，把临翔建设成为区域性对缅货运枢纽中心。</w:t>
      </w:r>
      <w:r>
        <w:rPr>
          <w:rStyle w:val="13"/>
          <w:rFonts w:hint="eastAsia" w:ascii="仿宋_GB2312" w:hAnsi="仿宋_GB2312" w:eastAsia="仿宋_GB2312" w:cs="仿宋_GB2312"/>
          <w:b/>
          <w:bCs/>
          <w:color w:val="auto"/>
          <w:kern w:val="0"/>
          <w:sz w:val="32"/>
          <w:szCs w:val="32"/>
          <w:highlight w:val="none"/>
          <w:lang w:val="en-US" w:eastAsia="zh-CN" w:bidi="ar"/>
        </w:rPr>
        <w:t>二要</w:t>
      </w:r>
      <w:r>
        <w:rPr>
          <w:rFonts w:hint="eastAsia" w:ascii="仿宋_GB2312" w:hAnsi="仿宋_GB2312" w:eastAsia="仿宋_GB2312" w:cs="仿宋_GB2312"/>
          <w:b/>
          <w:bCs/>
          <w:color w:val="auto"/>
          <w:kern w:val="0"/>
          <w:sz w:val="32"/>
          <w:szCs w:val="32"/>
          <w:highlight w:val="none"/>
          <w:lang w:bidi="ar"/>
        </w:rPr>
        <w:t>建设面向南亚东南亚辐射中心枢纽城市。</w:t>
      </w:r>
      <w:r>
        <w:rPr>
          <w:rStyle w:val="13"/>
          <w:rFonts w:hint="eastAsia" w:ascii="仿宋_GB2312" w:hAnsi="仿宋_GB2312" w:eastAsia="仿宋_GB2312" w:cs="仿宋_GB2312"/>
          <w:color w:val="auto"/>
          <w:kern w:val="0"/>
          <w:sz w:val="32"/>
          <w:szCs w:val="32"/>
          <w:highlight w:val="none"/>
          <w:lang w:bidi="ar"/>
        </w:rPr>
        <w:t>围绕“东拓、南延、西备、北控、中优”的空间发展目标，搭建“一中心、四组团”葫芦型空间结构蓝图，抓好以人为本的城市更新，以棚改、老旧小区改造、水环境整治为重点，把临沧城建设成为东抵太平洋西达印度洋国际大通道黄金段重要节点城市。</w:t>
      </w:r>
      <w:r>
        <w:rPr>
          <w:rFonts w:hint="eastAsia" w:ascii="仿宋_GB2312" w:hAnsi="仿宋_GB2312" w:eastAsia="仿宋_GB2312" w:cs="仿宋_GB2312"/>
          <w:b/>
          <w:bCs/>
          <w:color w:val="auto"/>
          <w:kern w:val="0"/>
          <w:sz w:val="32"/>
          <w:szCs w:val="32"/>
          <w:highlight w:val="none"/>
          <w:lang w:val="en-US" w:eastAsia="zh-CN" w:bidi="ar"/>
        </w:rPr>
        <w:t>三要推进</w:t>
      </w:r>
      <w:r>
        <w:rPr>
          <w:rFonts w:hint="eastAsia" w:ascii="仿宋_GB2312" w:hAnsi="仿宋_GB2312" w:eastAsia="仿宋_GB2312" w:cs="仿宋_GB2312"/>
          <w:b/>
          <w:bCs/>
          <w:color w:val="auto"/>
          <w:kern w:val="0"/>
          <w:sz w:val="32"/>
          <w:szCs w:val="32"/>
          <w:highlight w:val="none"/>
          <w:lang w:bidi="ar"/>
        </w:rPr>
        <w:t>国家可持续发展示范区建设</w:t>
      </w:r>
      <w:r>
        <w:rPr>
          <w:rFonts w:hint="eastAsia" w:ascii="仿宋_GB2312" w:hAnsi="仿宋_GB2312" w:eastAsia="仿宋_GB2312" w:cs="仿宋_GB2312"/>
          <w:b/>
          <w:bCs/>
          <w:color w:val="auto"/>
          <w:kern w:val="0"/>
          <w:sz w:val="32"/>
          <w:szCs w:val="32"/>
          <w:highlight w:val="none"/>
          <w:lang w:eastAsia="zh-CN" w:bidi="ar"/>
        </w:rPr>
        <w:t>。</w:t>
      </w:r>
      <w:r>
        <w:rPr>
          <w:rFonts w:hint="eastAsia" w:ascii="仿宋_GB2312" w:hAnsi="仿宋_GB2312" w:eastAsia="仿宋_GB2312" w:cs="仿宋_GB2312"/>
          <w:bCs/>
          <w:color w:val="auto"/>
          <w:sz w:val="32"/>
          <w:szCs w:val="32"/>
          <w:highlight w:val="none"/>
          <w:shd w:val="clear"/>
          <w:lang w:val="en-US" w:eastAsia="zh-CN"/>
        </w:rPr>
        <w:t>着力打造一批科技型支撑项目，争取列入市级项目盘子。推动各项创新政策在临翔先行先试，汇聚多方资源推进创新示范区建设。</w:t>
      </w:r>
      <w:r>
        <w:rPr>
          <w:rStyle w:val="13"/>
          <w:rFonts w:hint="eastAsia" w:ascii="仿宋_GB2312" w:hAnsi="仿宋_GB2312" w:eastAsia="仿宋_GB2312" w:cs="仿宋_GB2312"/>
          <w:color w:val="auto"/>
          <w:kern w:val="0"/>
          <w:sz w:val="32"/>
          <w:szCs w:val="32"/>
          <w:highlight w:val="none"/>
          <w:lang w:bidi="ar"/>
        </w:rPr>
        <w:t>加大研发投入，加快培育高新技术企业和科技型中小企业，充分利用市场机制促进科研成果转化利用。</w:t>
      </w:r>
      <w:r>
        <w:rPr>
          <w:rStyle w:val="13"/>
          <w:rFonts w:hint="eastAsia" w:ascii="仿宋_GB2312" w:hAnsi="仿宋_GB2312" w:eastAsia="仿宋_GB2312" w:cs="仿宋_GB2312"/>
          <w:color w:val="auto"/>
          <w:kern w:val="0"/>
          <w:sz w:val="32"/>
          <w:szCs w:val="32"/>
          <w:highlight w:val="none"/>
          <w:lang w:val="en-US" w:eastAsia="zh-CN" w:bidi="ar"/>
        </w:rPr>
        <w:t>新培育</w:t>
      </w:r>
      <w:r>
        <w:rPr>
          <w:rFonts w:hint="eastAsia" w:ascii="仿宋_GB2312" w:hAnsi="仿宋_GB2312" w:eastAsia="仿宋_GB2312" w:cs="仿宋_GB2312"/>
          <w:color w:val="auto"/>
          <w:sz w:val="32"/>
          <w:szCs w:val="32"/>
          <w:lang w:val="en-US" w:eastAsia="zh-CN"/>
        </w:rPr>
        <w:t>云南省科技型中小企业8户以上；高新企业2户以上；</w:t>
      </w:r>
      <w:r>
        <w:rPr>
          <w:rStyle w:val="13"/>
          <w:rFonts w:hint="eastAsia" w:ascii="仿宋_GB2312" w:hAnsi="仿宋_GB2312" w:eastAsia="仿宋_GB2312" w:cs="仿宋_GB2312"/>
          <w:color w:val="auto"/>
          <w:kern w:val="0"/>
          <w:sz w:val="32"/>
          <w:szCs w:val="32"/>
          <w:highlight w:val="none"/>
          <w:lang w:bidi="ar"/>
        </w:rPr>
        <w:t>全社会R&amp;D经费投入</w:t>
      </w:r>
      <w:r>
        <w:rPr>
          <w:rStyle w:val="13"/>
          <w:rFonts w:hint="eastAsia" w:ascii="仿宋_GB2312" w:hAnsi="仿宋_GB2312" w:eastAsia="仿宋_GB2312" w:cs="仿宋_GB2312"/>
          <w:color w:val="auto"/>
          <w:kern w:val="0"/>
          <w:sz w:val="32"/>
          <w:szCs w:val="32"/>
          <w:highlight w:val="none"/>
          <w:lang w:val="en-US" w:eastAsia="zh-CN" w:bidi="ar"/>
        </w:rPr>
        <w:t>增长17%以上。</w:t>
      </w:r>
      <w:r>
        <w:rPr>
          <w:rStyle w:val="13"/>
          <w:rFonts w:hint="eastAsia" w:ascii="仿宋_GB2312" w:hAnsi="仿宋_GB2312" w:eastAsia="仿宋_GB2312" w:cs="仿宋_GB2312"/>
          <w:b/>
          <w:bCs/>
          <w:color w:val="auto"/>
          <w:kern w:val="0"/>
          <w:sz w:val="32"/>
          <w:szCs w:val="32"/>
          <w:highlight w:val="none"/>
          <w:lang w:val="en-US" w:eastAsia="zh-CN" w:bidi="ar"/>
        </w:rPr>
        <w:t>四要坚定不移扩大对外开放招商引资。</w:t>
      </w:r>
      <w:r>
        <w:rPr>
          <w:rStyle w:val="13"/>
          <w:rFonts w:hint="eastAsia" w:ascii="仿宋_GB2312" w:hAnsi="仿宋_GB2312" w:eastAsia="仿宋_GB2312" w:cs="仿宋_GB2312"/>
          <w:color w:val="auto"/>
          <w:kern w:val="0"/>
          <w:sz w:val="32"/>
          <w:szCs w:val="32"/>
          <w:highlight w:val="none"/>
          <w:lang w:bidi="ar"/>
        </w:rPr>
        <w:t>突出重点精准招商，围绕重点项目、瞄准重点领域、紧盯重点客商开展精准招商，确保在引进亿元项目上取得新的突破。切实落实招商引资政策，加强与临沧工业园区的共建合作。</w:t>
      </w:r>
      <w:r>
        <w:rPr>
          <w:rStyle w:val="13"/>
          <w:rFonts w:hint="eastAsia" w:ascii="仿宋_GB2312" w:hAnsi="仿宋_GB2312" w:eastAsia="仿宋_GB2312" w:cs="仿宋_GB2312"/>
          <w:color w:val="auto"/>
          <w:kern w:val="0"/>
          <w:sz w:val="32"/>
          <w:szCs w:val="32"/>
          <w:highlight w:val="none"/>
          <w:lang w:val="en-US" w:eastAsia="zh-CN" w:bidi="ar"/>
        </w:rPr>
        <w:t>全年完成招商引资市外到位资金255.32亿元，其中：工业招商引资7.46亿元，增长12%。</w:t>
      </w:r>
    </w:p>
    <w:p>
      <w:pPr>
        <w:keepNext w:val="0"/>
        <w:keepLines w:val="0"/>
        <w:pageBreakBefore w:val="0"/>
        <w:widowControl w:val="0"/>
        <w:numPr>
          <w:ilvl w:val="-1"/>
          <w:numId w:val="0"/>
        </w:numPr>
        <w:pBdr>
          <w:bottom w:val="single" w:color="FFFFFF" w:sz="4" w:space="28"/>
        </w:pBdr>
        <w:shd w:val="clear"/>
        <w:kinsoku/>
        <w:wordWrap/>
        <w:overflowPunct/>
        <w:topLinePunct w:val="0"/>
        <w:autoSpaceDE/>
        <w:autoSpaceDN/>
        <w:bidi w:val="0"/>
        <w:adjustRightInd/>
        <w:snapToGrid/>
        <w:spacing w:line="560" w:lineRule="exact"/>
        <w:ind w:left="0" w:leftChars="0" w:right="0" w:rightChars="0" w:firstLine="643" w:firstLineChars="200"/>
        <w:jc w:val="both"/>
        <w:textAlignment w:val="baseline"/>
        <w:outlineLvl w:val="9"/>
        <w:rPr>
          <w:rFonts w:hint="eastAsia" w:ascii="仿宋_GB2312" w:hAnsi="仿宋_GB2312" w:eastAsia="仿宋_GB2312" w:cs="仿宋_GB2312"/>
          <w:i w:val="0"/>
          <w:caps w:val="0"/>
          <w:color w:val="auto"/>
          <w:spacing w:val="0"/>
          <w:sz w:val="32"/>
          <w:szCs w:val="32"/>
          <w:highlight w:val="none"/>
          <w:shd w:val="clear"/>
          <w:lang w:eastAsia="zh-CN"/>
        </w:rPr>
      </w:pPr>
      <w:r>
        <w:rPr>
          <w:rFonts w:hint="eastAsia" w:ascii="楷体_GB2312" w:hAnsi="楷体_GB2312" w:eastAsia="楷体_GB2312" w:cs="楷体_GB2312"/>
          <w:b/>
          <w:bCs/>
          <w:color w:val="auto"/>
          <w:kern w:val="0"/>
          <w:sz w:val="32"/>
          <w:szCs w:val="32"/>
          <w:highlight w:val="none"/>
          <w:u w:val="none"/>
          <w:shd w:val="clear"/>
          <w:lang w:val="en-US" w:eastAsia="zh-CN" w:bidi="ar"/>
        </w:rPr>
        <w:t>（九）全面深化各项体制改革。</w:t>
      </w:r>
      <w:r>
        <w:rPr>
          <w:rFonts w:hint="eastAsia" w:ascii="仿宋_GB2312" w:hAnsi="仿宋_GB2312" w:eastAsia="仿宋_GB2312" w:cs="仿宋_GB2312"/>
          <w:color w:val="auto"/>
          <w:sz w:val="32"/>
          <w:szCs w:val="32"/>
          <w:highlight w:val="none"/>
        </w:rPr>
        <w:t>以深化供给侧结构性改革为主线，创新政府管理和服务方式，</w:t>
      </w:r>
      <w:r>
        <w:rPr>
          <w:rFonts w:hint="eastAsia" w:ascii="仿宋_GB2312" w:hAnsi="仿宋_GB2312" w:eastAsia="仿宋_GB2312" w:cs="仿宋_GB2312"/>
          <w:color w:val="auto"/>
          <w:sz w:val="32"/>
          <w:szCs w:val="32"/>
          <w:highlight w:val="none"/>
          <w:shd w:val="clear"/>
          <w:lang w:val="en-US" w:eastAsia="zh-CN"/>
        </w:rPr>
        <w:t>坚定不移推进各项体制改革，勇于创新突破、大胆先行先试，用改革的思维、创新的办法推动发展。</w:t>
      </w:r>
      <w:r>
        <w:rPr>
          <w:rFonts w:hint="eastAsia" w:ascii="仿宋_GB2312" w:hAnsi="仿宋_GB2312" w:eastAsia="仿宋_GB2312" w:cs="仿宋_GB2312"/>
          <w:b/>
          <w:bCs/>
          <w:color w:val="auto"/>
          <w:sz w:val="32"/>
          <w:szCs w:val="32"/>
          <w:highlight w:val="none"/>
          <w:shd w:val="clear"/>
          <w:lang w:val="en-US" w:eastAsia="zh-CN"/>
        </w:rPr>
        <w:t>一要深化经济体制改革。</w:t>
      </w:r>
      <w:r>
        <w:rPr>
          <w:rFonts w:hint="eastAsia" w:ascii="仿宋_GB2312" w:hAnsi="仿宋_GB2312" w:eastAsia="仿宋_GB2312" w:cs="仿宋_GB2312"/>
          <w:color w:val="auto"/>
          <w:sz w:val="32"/>
          <w:szCs w:val="32"/>
          <w:highlight w:val="none"/>
          <w:shd w:val="clear"/>
          <w:lang w:val="en-US" w:eastAsia="zh-CN"/>
        </w:rPr>
        <w:t>全面实施市场准入负面清单制度和公平竞争审查制度；深化财税体制改革，完善政府举债融资机制；深化地方金融改革，完善金融有效支持实体经济体制机制；深化能源领域改革，增强能源市场活力和绿色发展动力。</w:t>
      </w:r>
      <w:r>
        <w:rPr>
          <w:rFonts w:hint="eastAsia" w:ascii="仿宋_GB2312" w:hAnsi="仿宋_GB2312" w:eastAsia="仿宋_GB2312" w:cs="仿宋_GB2312"/>
          <w:b/>
          <w:bCs/>
          <w:color w:val="auto"/>
          <w:sz w:val="32"/>
          <w:szCs w:val="32"/>
          <w:highlight w:val="none"/>
          <w:lang w:val="en-US" w:eastAsia="zh-CN"/>
        </w:rPr>
        <w:t>二要</w:t>
      </w:r>
      <w:r>
        <w:rPr>
          <w:rFonts w:hint="eastAsia" w:ascii="仿宋_GB2312" w:hAnsi="仿宋_GB2312" w:eastAsia="仿宋_GB2312" w:cs="仿宋_GB2312"/>
          <w:b/>
          <w:bCs/>
          <w:color w:val="auto"/>
          <w:sz w:val="32"/>
          <w:szCs w:val="32"/>
          <w:highlight w:val="none"/>
        </w:rPr>
        <w:t>深化科技体制改革</w:t>
      </w:r>
      <w:r>
        <w:rPr>
          <w:rFonts w:hint="eastAsia" w:ascii="仿宋_GB2312" w:hAnsi="仿宋_GB2312" w:eastAsia="仿宋_GB2312" w:cs="仿宋_GB2312"/>
          <w:color w:val="auto"/>
          <w:sz w:val="32"/>
          <w:szCs w:val="32"/>
          <w:highlight w:val="none"/>
        </w:rPr>
        <w:t>。健全完善创新驱动建设国家可持续发展议程创新示范区的体制机制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完善鼓励创新创业政策，健全科技成果转化运用激励机制，激发创新创造活力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三要</w:t>
      </w:r>
      <w:r>
        <w:rPr>
          <w:rFonts w:hint="eastAsia" w:ascii="仿宋_GB2312" w:hAnsi="仿宋_GB2312" w:eastAsia="仿宋_GB2312" w:cs="仿宋_GB2312"/>
          <w:b/>
          <w:bCs/>
          <w:color w:val="auto"/>
          <w:sz w:val="32"/>
          <w:szCs w:val="32"/>
          <w:highlight w:val="none"/>
        </w:rPr>
        <w:t>深化生态文明体制改革</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color w:val="auto"/>
          <w:sz w:val="32"/>
          <w:szCs w:val="32"/>
          <w:highlight w:val="none"/>
        </w:rPr>
        <w:t>强化生态文明领域统筹协调机制，</w:t>
      </w:r>
      <w:r>
        <w:rPr>
          <w:rFonts w:hint="eastAsia" w:ascii="仿宋_GB2312" w:hAnsi="仿宋_GB2312" w:eastAsia="仿宋_GB2312" w:cs="仿宋_GB2312"/>
          <w:color w:val="auto"/>
          <w:sz w:val="32"/>
          <w:szCs w:val="32"/>
          <w:highlight w:val="none"/>
          <w:lang w:eastAsia="zh-CN"/>
        </w:rPr>
        <w:t>严格</w:t>
      </w:r>
      <w:r>
        <w:rPr>
          <w:rFonts w:hint="eastAsia" w:ascii="仿宋_GB2312" w:hAnsi="仿宋_GB2312" w:eastAsia="仿宋_GB2312" w:cs="仿宋_GB2312"/>
          <w:color w:val="auto"/>
          <w:sz w:val="32"/>
          <w:szCs w:val="32"/>
          <w:highlight w:val="none"/>
        </w:rPr>
        <w:t>落实河</w:t>
      </w:r>
      <w:r>
        <w:rPr>
          <w:rFonts w:hint="eastAsia" w:ascii="仿宋_GB2312" w:hAnsi="仿宋_GB2312" w:eastAsia="仿宋_GB2312" w:cs="仿宋_GB2312"/>
          <w:color w:val="auto"/>
          <w:sz w:val="32"/>
          <w:szCs w:val="32"/>
          <w:highlight w:val="none"/>
          <w:lang w:eastAsia="zh-CN"/>
        </w:rPr>
        <w:t>长、</w:t>
      </w:r>
      <w:r>
        <w:rPr>
          <w:rFonts w:hint="eastAsia" w:ascii="仿宋_GB2312" w:hAnsi="仿宋_GB2312" w:eastAsia="仿宋_GB2312" w:cs="仿宋_GB2312"/>
          <w:color w:val="auto"/>
          <w:sz w:val="32"/>
          <w:szCs w:val="32"/>
          <w:highlight w:val="none"/>
        </w:rPr>
        <w:t>湖</w:t>
      </w:r>
      <w:r>
        <w:rPr>
          <w:rFonts w:hint="eastAsia" w:ascii="仿宋_GB2312" w:hAnsi="仿宋_GB2312" w:eastAsia="仿宋_GB2312" w:cs="仿宋_GB2312"/>
          <w:color w:val="auto"/>
          <w:sz w:val="32"/>
          <w:szCs w:val="32"/>
          <w:highlight w:val="none"/>
          <w:lang w:eastAsia="zh-CN"/>
        </w:rPr>
        <w:t>长、林</w:t>
      </w:r>
      <w:r>
        <w:rPr>
          <w:rFonts w:hint="eastAsia" w:ascii="仿宋_GB2312" w:hAnsi="仿宋_GB2312" w:eastAsia="仿宋_GB2312" w:cs="仿宋_GB2312"/>
          <w:color w:val="auto"/>
          <w:sz w:val="32"/>
          <w:szCs w:val="32"/>
          <w:highlight w:val="none"/>
        </w:rPr>
        <w:t>长制，深入实施清水净湖整治行动，确保玉龙湖、博尚水库等河湖水质稳定向好。</w:t>
      </w:r>
      <w:r>
        <w:rPr>
          <w:rFonts w:hint="eastAsia" w:ascii="仿宋_GB2312" w:hAnsi="仿宋_GB2312" w:eastAsia="仿宋_GB2312" w:cs="仿宋_GB2312"/>
          <w:b/>
          <w:bCs/>
          <w:color w:val="auto"/>
          <w:sz w:val="32"/>
          <w:szCs w:val="32"/>
          <w:highlight w:val="none"/>
          <w:lang w:val="en-US" w:eastAsia="zh-CN"/>
        </w:rPr>
        <w:t>四要</w:t>
      </w:r>
      <w:r>
        <w:rPr>
          <w:rFonts w:hint="eastAsia" w:ascii="仿宋_GB2312" w:hAnsi="仿宋_GB2312" w:eastAsia="仿宋_GB2312" w:cs="仿宋_GB2312"/>
          <w:b/>
          <w:bCs/>
          <w:i w:val="0"/>
          <w:caps w:val="0"/>
          <w:color w:val="auto"/>
          <w:spacing w:val="0"/>
          <w:sz w:val="32"/>
          <w:szCs w:val="32"/>
          <w:highlight w:val="none"/>
          <w:shd w:val="clear"/>
          <w:lang w:val="en-US" w:eastAsia="zh-CN"/>
        </w:rPr>
        <w:t>统筹推进其它各项改革。</w:t>
      </w:r>
      <w:r>
        <w:rPr>
          <w:rFonts w:hint="eastAsia" w:ascii="仿宋_GB2312" w:hAnsi="仿宋_GB2312" w:eastAsia="仿宋_GB2312" w:cs="仿宋_GB2312"/>
          <w:i w:val="0"/>
          <w:caps w:val="0"/>
          <w:color w:val="auto"/>
          <w:spacing w:val="0"/>
          <w:sz w:val="32"/>
          <w:szCs w:val="32"/>
          <w:highlight w:val="none"/>
          <w:shd w:val="clear"/>
          <w:lang w:val="en-US" w:eastAsia="zh-CN"/>
        </w:rPr>
        <w:t>全面</w:t>
      </w:r>
      <w:r>
        <w:rPr>
          <w:rFonts w:hint="eastAsia" w:ascii="仿宋_GB2312" w:hAnsi="仿宋_GB2312" w:eastAsia="仿宋_GB2312" w:cs="仿宋_GB2312"/>
          <w:i w:val="0"/>
          <w:caps w:val="0"/>
          <w:color w:val="auto"/>
          <w:spacing w:val="0"/>
          <w:sz w:val="32"/>
          <w:szCs w:val="32"/>
          <w:highlight w:val="none"/>
          <w:shd w:val="clear"/>
        </w:rPr>
        <w:t>深化新时代教育评价改革</w:t>
      </w:r>
      <w:r>
        <w:rPr>
          <w:rFonts w:hint="eastAsia" w:ascii="仿宋_GB2312" w:hAnsi="仿宋_GB2312" w:eastAsia="仿宋_GB2312" w:cs="仿宋_GB2312"/>
          <w:i w:val="0"/>
          <w:caps w:val="0"/>
          <w:color w:val="auto"/>
          <w:spacing w:val="0"/>
          <w:sz w:val="32"/>
          <w:szCs w:val="32"/>
          <w:highlight w:val="none"/>
          <w:shd w:val="clear"/>
          <w:lang w:eastAsia="zh-CN"/>
        </w:rPr>
        <w:t>、</w:t>
      </w:r>
      <w:r>
        <w:rPr>
          <w:rFonts w:hint="eastAsia" w:ascii="仿宋_GB2312" w:hAnsi="仿宋_GB2312" w:eastAsia="仿宋_GB2312" w:cs="仿宋_GB2312"/>
          <w:i w:val="0"/>
          <w:caps w:val="0"/>
          <w:color w:val="auto"/>
          <w:spacing w:val="0"/>
          <w:sz w:val="32"/>
          <w:szCs w:val="32"/>
          <w:highlight w:val="none"/>
          <w:shd w:val="clear"/>
        </w:rPr>
        <w:t>医疗服务价格改革</w:t>
      </w:r>
      <w:r>
        <w:rPr>
          <w:rFonts w:hint="eastAsia" w:ascii="仿宋_GB2312" w:hAnsi="仿宋_GB2312" w:eastAsia="仿宋_GB2312" w:cs="仿宋_GB2312"/>
          <w:i w:val="0"/>
          <w:caps w:val="0"/>
          <w:color w:val="auto"/>
          <w:spacing w:val="0"/>
          <w:sz w:val="32"/>
          <w:szCs w:val="32"/>
          <w:highlight w:val="none"/>
          <w:shd w:val="clear"/>
          <w:lang w:eastAsia="zh-CN"/>
        </w:rPr>
        <w:t>，</w:t>
      </w:r>
      <w:r>
        <w:rPr>
          <w:rFonts w:hint="eastAsia" w:ascii="仿宋_GB2312" w:hAnsi="仿宋_GB2312" w:eastAsia="仿宋_GB2312" w:cs="仿宋_GB2312"/>
          <w:i w:val="0"/>
          <w:caps w:val="0"/>
          <w:color w:val="auto"/>
          <w:spacing w:val="0"/>
          <w:sz w:val="32"/>
          <w:szCs w:val="32"/>
          <w:highlight w:val="none"/>
          <w:shd w:val="clear"/>
        </w:rPr>
        <w:t>建立健全事业单位管理岗位职员等级晋升</w:t>
      </w:r>
      <w:r>
        <w:rPr>
          <w:rFonts w:hint="eastAsia" w:ascii="仿宋_GB2312" w:hAnsi="仿宋_GB2312" w:eastAsia="仿宋_GB2312" w:cs="仿宋_GB2312"/>
          <w:i w:val="0"/>
          <w:caps w:val="0"/>
          <w:color w:val="auto"/>
          <w:spacing w:val="0"/>
          <w:sz w:val="32"/>
          <w:szCs w:val="32"/>
          <w:highlight w:val="none"/>
          <w:shd w:val="clear"/>
          <w:lang w:val="en-US" w:eastAsia="zh-CN"/>
        </w:rPr>
        <w:t>等</w:t>
      </w:r>
      <w:r>
        <w:rPr>
          <w:rFonts w:hint="eastAsia" w:ascii="仿宋_GB2312" w:hAnsi="仿宋_GB2312" w:eastAsia="仿宋_GB2312" w:cs="仿宋_GB2312"/>
          <w:i w:val="0"/>
          <w:caps w:val="0"/>
          <w:color w:val="auto"/>
          <w:spacing w:val="0"/>
          <w:sz w:val="32"/>
          <w:szCs w:val="32"/>
          <w:highlight w:val="none"/>
          <w:shd w:val="clear"/>
        </w:rPr>
        <w:t>制度</w:t>
      </w:r>
      <w:r>
        <w:rPr>
          <w:rFonts w:hint="eastAsia" w:ascii="仿宋_GB2312" w:hAnsi="仿宋_GB2312" w:eastAsia="仿宋_GB2312" w:cs="仿宋_GB2312"/>
          <w:i w:val="0"/>
          <w:caps w:val="0"/>
          <w:color w:val="auto"/>
          <w:spacing w:val="0"/>
          <w:sz w:val="32"/>
          <w:szCs w:val="32"/>
          <w:highlight w:val="none"/>
          <w:shd w:val="clear"/>
          <w:lang w:val="en-US" w:eastAsia="zh-CN"/>
        </w:rPr>
        <w:t>。</w:t>
      </w:r>
    </w:p>
    <w:p>
      <w:pPr>
        <w:keepNext w:val="0"/>
        <w:keepLines w:val="0"/>
        <w:pageBreakBefore w:val="0"/>
        <w:widowControl w:val="0"/>
        <w:numPr>
          <w:ilvl w:val="0"/>
          <w:numId w:val="0"/>
        </w:numPr>
        <w:pBdr>
          <w:bottom w:val="single" w:color="FFFFFF" w:sz="4" w:space="28"/>
        </w:pBdr>
        <w:kinsoku/>
        <w:wordWrap/>
        <w:overflowPunct/>
        <w:topLinePunct w:val="0"/>
        <w:autoSpaceDE/>
        <w:autoSpaceDN/>
        <w:bidi w:val="0"/>
        <w:adjustRightInd/>
        <w:snapToGrid/>
        <w:spacing w:line="560" w:lineRule="exact"/>
        <w:ind w:left="0" w:leftChars="0" w:right="0" w:rightChars="0" w:firstLine="643" w:firstLineChars="200"/>
        <w:jc w:val="both"/>
        <w:textAlignment w:val="baseline"/>
        <w:outlineLvl w:val="9"/>
        <w:rPr>
          <w:rFonts w:hint="eastAsia" w:ascii="仿宋_GB2312" w:hAnsi="仿宋_GB2312" w:eastAsia="仿宋_GB2312" w:cs="仿宋_GB2312"/>
          <w:color w:val="auto"/>
          <w:spacing w:val="-6"/>
          <w:sz w:val="32"/>
          <w:szCs w:val="32"/>
        </w:rPr>
      </w:pPr>
      <w:r>
        <w:rPr>
          <w:rFonts w:hint="eastAsia" w:ascii="楷体_GB2312" w:hAnsi="楷体_GB2312" w:eastAsia="楷体_GB2312" w:cs="楷体_GB2312"/>
          <w:b/>
          <w:bCs/>
          <w:color w:val="auto"/>
          <w:kern w:val="0"/>
          <w:sz w:val="32"/>
          <w:szCs w:val="32"/>
          <w:highlight w:val="none"/>
          <w:u w:val="none"/>
          <w:shd w:val="clear"/>
          <w:lang w:val="en-US" w:eastAsia="zh-CN" w:bidi="ar"/>
        </w:rPr>
        <w:t>（十）全面加强保障和改善民生。</w:t>
      </w:r>
      <w:r>
        <w:rPr>
          <w:rFonts w:hint="eastAsia" w:ascii="仿宋_GB2312" w:hAnsi="仿宋_GB2312" w:eastAsia="仿宋_GB2312" w:cs="仿宋_GB2312"/>
          <w:b/>
          <w:bCs/>
          <w:color w:val="auto"/>
          <w:sz w:val="32"/>
          <w:szCs w:val="32"/>
          <w:highlight w:val="none"/>
          <w:shd w:val="clear"/>
          <w:lang w:val="en-US" w:eastAsia="zh-CN" w:bidi="ar"/>
        </w:rPr>
        <w:t>一要</w:t>
      </w:r>
      <w:r>
        <w:rPr>
          <w:rFonts w:hint="eastAsia" w:ascii="仿宋_GB2312" w:hAnsi="仿宋_GB2312" w:eastAsia="仿宋_GB2312" w:cs="仿宋_GB2312"/>
          <w:b/>
          <w:bCs/>
          <w:color w:val="auto"/>
          <w:kern w:val="0"/>
          <w:sz w:val="32"/>
          <w:szCs w:val="32"/>
          <w:highlight w:val="none"/>
          <w:shd w:val="clear"/>
          <w:lang w:val="en-US" w:eastAsia="zh-CN" w:bidi="ar"/>
        </w:rPr>
        <w:t>加大人才培育力度。</w:t>
      </w:r>
      <w:r>
        <w:rPr>
          <w:rFonts w:hint="eastAsia" w:ascii="仿宋_GB2312" w:hAnsi="仿宋_GB2312" w:eastAsia="仿宋_GB2312" w:cs="仿宋_GB2312"/>
          <w:color w:val="auto"/>
          <w:kern w:val="0"/>
          <w:sz w:val="32"/>
          <w:szCs w:val="32"/>
          <w:highlight w:val="none"/>
          <w:lang w:bidi="ar"/>
        </w:rPr>
        <w:t>大力开展职业技能培训和企业新型学徒制培养，持续加大科技、教育和医疗卫生紧缺急需人才引进力度。深化校企合作，加快推进与对口帮扶单位、企业达成的干部培训、人才培养、技术研发等合作事项落地落实。</w:t>
      </w:r>
      <w:r>
        <w:rPr>
          <w:rFonts w:hint="eastAsia" w:ascii="仿宋_GB2312" w:hAnsi="仿宋_GB2312" w:eastAsia="仿宋_GB2312" w:cs="仿宋_GB2312"/>
          <w:b/>
          <w:bCs/>
          <w:color w:val="auto"/>
          <w:kern w:val="0"/>
          <w:sz w:val="32"/>
          <w:szCs w:val="32"/>
          <w:highlight w:val="none"/>
          <w:lang w:val="en-US" w:eastAsia="zh-CN" w:bidi="ar"/>
        </w:rPr>
        <w:t>二要</w:t>
      </w:r>
      <w:r>
        <w:rPr>
          <w:rFonts w:hint="eastAsia" w:ascii="仿宋_GB2312" w:hAnsi="仿宋_GB2312" w:eastAsia="仿宋_GB2312" w:cs="仿宋_GB2312"/>
          <w:b/>
          <w:bCs/>
          <w:color w:val="auto"/>
          <w:spacing w:val="-6"/>
          <w:sz w:val="32"/>
          <w:szCs w:val="32"/>
          <w:lang w:val="en-US" w:eastAsia="zh-CN"/>
        </w:rPr>
        <w:t>提高居民就业水平</w:t>
      </w:r>
      <w:r>
        <w:rPr>
          <w:rFonts w:hint="eastAsia" w:ascii="仿宋_GB2312" w:hAnsi="仿宋_GB2312" w:eastAsia="仿宋_GB2312" w:cs="仿宋_GB2312"/>
          <w:color w:val="auto"/>
          <w:kern w:val="0"/>
          <w:sz w:val="32"/>
          <w:szCs w:val="32"/>
          <w:highlight w:val="none"/>
          <w:shd w:val="clear"/>
          <w:lang w:val="en-US" w:eastAsia="zh-CN" w:bidi="ar"/>
        </w:rPr>
        <w:t>。</w:t>
      </w:r>
      <w:r>
        <w:rPr>
          <w:rFonts w:hint="eastAsia" w:ascii="仿宋_GB2312" w:hAnsi="仿宋_GB2312" w:eastAsia="仿宋_GB2312" w:cs="仿宋_GB2312"/>
          <w:color w:val="auto"/>
          <w:kern w:val="0"/>
          <w:sz w:val="32"/>
          <w:szCs w:val="32"/>
          <w:highlight w:val="none"/>
          <w:lang w:bidi="ar"/>
        </w:rPr>
        <w:t>落实更加积极的就业政策，</w:t>
      </w:r>
      <w:r>
        <w:rPr>
          <w:rFonts w:hint="eastAsia" w:ascii="仿宋_GB2312" w:hAnsi="仿宋_GB2312" w:eastAsia="仿宋_GB2312" w:cs="仿宋_GB2312"/>
          <w:color w:val="auto"/>
          <w:kern w:val="0"/>
          <w:sz w:val="32"/>
          <w:szCs w:val="32"/>
          <w:highlight w:val="none"/>
          <w:lang w:eastAsia="zh-CN" w:bidi="ar"/>
        </w:rPr>
        <w:t>扩大</w:t>
      </w:r>
      <w:r>
        <w:rPr>
          <w:rFonts w:hint="eastAsia" w:ascii="仿宋_GB2312" w:hAnsi="仿宋_GB2312" w:eastAsia="仿宋_GB2312" w:cs="仿宋_GB2312"/>
          <w:color w:val="auto"/>
          <w:kern w:val="0"/>
          <w:sz w:val="32"/>
          <w:szCs w:val="32"/>
          <w:highlight w:val="none"/>
          <w:lang w:bidi="ar"/>
        </w:rPr>
        <w:t>就业容量，提升就业质量，建立多渠道灵活就业机制</w:t>
      </w:r>
      <w:r>
        <w:rPr>
          <w:rFonts w:hint="eastAsia" w:ascii="仿宋_GB2312" w:hAnsi="仿宋_GB2312" w:eastAsia="仿宋_GB2312" w:cs="仿宋_GB2312"/>
          <w:color w:val="auto"/>
          <w:kern w:val="0"/>
          <w:sz w:val="32"/>
          <w:szCs w:val="32"/>
          <w:highlight w:val="none"/>
          <w:lang w:eastAsia="zh-CN" w:bidi="ar"/>
        </w:rPr>
        <w:t>。</w:t>
      </w:r>
      <w:r>
        <w:rPr>
          <w:rFonts w:hint="eastAsia" w:ascii="仿宋_GB2312" w:hAnsi="仿宋_GB2312" w:eastAsia="仿宋_GB2312" w:cs="仿宋_GB2312"/>
          <w:color w:val="auto"/>
          <w:spacing w:val="-6"/>
          <w:sz w:val="32"/>
          <w:szCs w:val="32"/>
        </w:rPr>
        <w:t>确保城镇新增就业</w:t>
      </w:r>
      <w:r>
        <w:rPr>
          <w:rFonts w:hint="eastAsia" w:ascii="仿宋_GB2312" w:hAnsi="仿宋_GB2312" w:eastAsia="仿宋_GB2312" w:cs="仿宋_GB2312"/>
          <w:color w:val="auto"/>
          <w:spacing w:val="-6"/>
          <w:sz w:val="32"/>
          <w:szCs w:val="32"/>
          <w:lang w:val="en-US" w:eastAsia="zh-CN"/>
        </w:rPr>
        <w:t>5700</w:t>
      </w:r>
      <w:r>
        <w:rPr>
          <w:rFonts w:hint="eastAsia" w:ascii="仿宋_GB2312" w:hAnsi="仿宋_GB2312" w:eastAsia="仿宋_GB2312" w:cs="仿宋_GB2312"/>
          <w:color w:val="auto"/>
          <w:spacing w:val="-6"/>
          <w:sz w:val="32"/>
          <w:szCs w:val="32"/>
        </w:rPr>
        <w:t>人以上，</w:t>
      </w:r>
      <w:r>
        <w:rPr>
          <w:rFonts w:hint="eastAsia" w:ascii="仿宋_GB2312" w:hAnsi="仿宋_GB2312" w:eastAsia="仿宋_GB2312" w:cs="仿宋_GB2312"/>
          <w:color w:val="auto"/>
          <w:spacing w:val="-6"/>
          <w:sz w:val="32"/>
          <w:szCs w:val="32"/>
          <w:lang w:val="en-US" w:eastAsia="zh-CN"/>
        </w:rPr>
        <w:t>新</w:t>
      </w:r>
      <w:r>
        <w:rPr>
          <w:rFonts w:hint="eastAsia" w:ascii="仿宋_GB2312" w:hAnsi="仿宋_GB2312" w:eastAsia="仿宋_GB2312" w:cs="仿宋_GB2312"/>
          <w:color w:val="auto"/>
          <w:spacing w:val="-6"/>
          <w:sz w:val="32"/>
          <w:szCs w:val="32"/>
        </w:rPr>
        <w:t>开发公益性岗位</w:t>
      </w:r>
      <w:r>
        <w:rPr>
          <w:rFonts w:hint="eastAsia" w:ascii="仿宋_GB2312" w:hAnsi="仿宋_GB2312" w:eastAsia="仿宋_GB2312" w:cs="仿宋_GB2312"/>
          <w:color w:val="auto"/>
          <w:spacing w:val="-6"/>
          <w:sz w:val="32"/>
          <w:szCs w:val="32"/>
          <w:lang w:val="en-US" w:eastAsia="zh-CN"/>
        </w:rPr>
        <w:t>300</w:t>
      </w:r>
      <w:r>
        <w:rPr>
          <w:rFonts w:hint="eastAsia" w:ascii="仿宋_GB2312" w:hAnsi="仿宋_GB2312" w:eastAsia="仿宋_GB2312" w:cs="仿宋_GB2312"/>
          <w:color w:val="auto"/>
          <w:spacing w:val="-6"/>
          <w:sz w:val="32"/>
          <w:szCs w:val="32"/>
        </w:rPr>
        <w:t>个</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lang w:val="en-US" w:eastAsia="zh-CN"/>
        </w:rPr>
        <w:t>培训</w:t>
      </w:r>
      <w:r>
        <w:rPr>
          <w:rFonts w:hint="eastAsia" w:ascii="仿宋_GB2312" w:hAnsi="仿宋_GB2312" w:eastAsia="仿宋_GB2312" w:cs="仿宋_GB2312"/>
          <w:color w:val="auto"/>
          <w:spacing w:val="-6"/>
          <w:sz w:val="32"/>
          <w:szCs w:val="32"/>
        </w:rPr>
        <w:t>农村劳动力转移就业</w:t>
      </w:r>
      <w:r>
        <w:rPr>
          <w:rFonts w:hint="eastAsia" w:ascii="仿宋_GB2312" w:hAnsi="仿宋_GB2312" w:eastAsia="仿宋_GB2312" w:cs="仿宋_GB2312"/>
          <w:color w:val="auto"/>
          <w:spacing w:val="-6"/>
          <w:sz w:val="32"/>
          <w:szCs w:val="32"/>
          <w:lang w:val="en-US" w:eastAsia="zh-CN"/>
        </w:rPr>
        <w:t>11</w:t>
      </w:r>
      <w:r>
        <w:rPr>
          <w:rFonts w:hint="eastAsia" w:ascii="仿宋_GB2312" w:hAnsi="仿宋_GB2312" w:eastAsia="仿宋_GB2312" w:cs="仿宋_GB2312"/>
          <w:color w:val="auto"/>
          <w:spacing w:val="-6"/>
          <w:sz w:val="32"/>
          <w:szCs w:val="32"/>
        </w:rPr>
        <w:t>万</w:t>
      </w:r>
      <w:r>
        <w:rPr>
          <w:rFonts w:hint="eastAsia" w:ascii="仿宋_GB2312" w:hAnsi="仿宋_GB2312" w:eastAsia="仿宋_GB2312" w:cs="仿宋_GB2312"/>
          <w:color w:val="auto"/>
          <w:spacing w:val="-6"/>
          <w:sz w:val="32"/>
          <w:szCs w:val="32"/>
          <w:lang w:eastAsia="zh-CN"/>
        </w:rPr>
        <w:t>人次</w:t>
      </w:r>
      <w:r>
        <w:rPr>
          <w:rFonts w:hint="eastAsia" w:ascii="仿宋_GB2312" w:hAnsi="仿宋_GB2312" w:eastAsia="仿宋_GB2312" w:cs="仿宋_GB2312"/>
          <w:color w:val="auto"/>
          <w:spacing w:val="-6"/>
          <w:sz w:val="32"/>
          <w:szCs w:val="32"/>
        </w:rPr>
        <w:t>。</w:t>
      </w:r>
      <w:r>
        <w:rPr>
          <w:rFonts w:hint="eastAsia" w:ascii="仿宋_GB2312" w:hAnsi="仿宋_GB2312" w:eastAsia="仿宋_GB2312" w:cs="仿宋_GB2312"/>
          <w:b/>
          <w:bCs/>
          <w:color w:val="auto"/>
          <w:spacing w:val="-6"/>
          <w:sz w:val="32"/>
          <w:szCs w:val="32"/>
          <w:lang w:val="en-US" w:eastAsia="zh-CN"/>
        </w:rPr>
        <w:t>三要</w:t>
      </w:r>
      <w:r>
        <w:rPr>
          <w:rFonts w:hint="eastAsia" w:ascii="仿宋_GB2312" w:hAnsi="仿宋_GB2312" w:eastAsia="仿宋_GB2312" w:cs="仿宋_GB2312"/>
          <w:b/>
          <w:bCs/>
          <w:color w:val="auto"/>
          <w:kern w:val="0"/>
          <w:sz w:val="32"/>
          <w:szCs w:val="32"/>
          <w:highlight w:val="none"/>
          <w:shd w:val="clear"/>
          <w:lang w:val="en-US" w:eastAsia="zh-CN" w:bidi="ar"/>
        </w:rPr>
        <w:t>办好人民满意的教育。</w:t>
      </w:r>
      <w:r>
        <w:rPr>
          <w:rFonts w:hint="eastAsia" w:ascii="仿宋_GB2312" w:hAnsi="仿宋_GB2312" w:eastAsia="仿宋_GB2312" w:cs="仿宋_GB2312"/>
          <w:color w:val="auto"/>
          <w:kern w:val="0"/>
          <w:sz w:val="32"/>
          <w:szCs w:val="32"/>
          <w:highlight w:val="none"/>
          <w:lang w:bidi="ar"/>
        </w:rPr>
        <w:t>落实教育优先发展措施，推进立德树人根本任务落实落细</w:t>
      </w:r>
      <w:r>
        <w:rPr>
          <w:rFonts w:hint="eastAsia" w:ascii="仿宋_GB2312" w:hAnsi="仿宋_GB2312" w:eastAsia="仿宋_GB2312" w:cs="仿宋_GB2312"/>
          <w:color w:val="auto"/>
          <w:kern w:val="0"/>
          <w:sz w:val="32"/>
          <w:szCs w:val="32"/>
          <w:highlight w:val="none"/>
          <w:lang w:eastAsia="zh-CN" w:bidi="ar"/>
        </w:rPr>
        <w:t>，</w:t>
      </w:r>
      <w:r>
        <w:rPr>
          <w:rFonts w:hint="eastAsia" w:ascii="仿宋_GB2312" w:hAnsi="仿宋_GB2312" w:eastAsia="仿宋_GB2312" w:cs="仿宋_GB2312"/>
          <w:color w:val="auto"/>
          <w:spacing w:val="-6"/>
          <w:sz w:val="32"/>
          <w:szCs w:val="32"/>
          <w:lang w:val="en-US" w:eastAsia="zh-CN"/>
        </w:rPr>
        <w:t>完善控辍保学长效机制，持续落实“双减”政策措施，推动义务教育均衡发展。</w:t>
      </w:r>
      <w:r>
        <w:rPr>
          <w:rFonts w:hint="eastAsia" w:ascii="仿宋_GB2312" w:hAnsi="仿宋_GB2312" w:eastAsia="仿宋_GB2312" w:cs="仿宋_GB2312"/>
          <w:color w:val="auto"/>
          <w:kern w:val="0"/>
          <w:sz w:val="32"/>
          <w:szCs w:val="32"/>
          <w:highlight w:val="none"/>
          <w:lang w:bidi="ar"/>
        </w:rPr>
        <w:t>推进义务教育薄弱环节改善与能力提升、学前教育、“数字教育”等重点工程项目建设。</w:t>
      </w:r>
      <w:r>
        <w:rPr>
          <w:rFonts w:hint="eastAsia" w:ascii="仿宋_GB2312" w:hAnsi="仿宋_GB2312" w:eastAsia="仿宋_GB2312" w:cs="仿宋_GB2312"/>
          <w:color w:val="auto"/>
          <w:spacing w:val="-6"/>
          <w:sz w:val="32"/>
          <w:szCs w:val="32"/>
          <w:lang w:val="en-US" w:eastAsia="zh-CN"/>
        </w:rPr>
        <w:t>确保九年义务教育巩固率达98%以上。</w:t>
      </w:r>
      <w:r>
        <w:rPr>
          <w:rFonts w:hint="eastAsia" w:ascii="仿宋_GB2312" w:hAnsi="仿宋_GB2312" w:eastAsia="仿宋_GB2312" w:cs="仿宋_GB2312"/>
          <w:b/>
          <w:bCs/>
          <w:color w:val="auto"/>
          <w:spacing w:val="-6"/>
          <w:sz w:val="32"/>
          <w:szCs w:val="32"/>
          <w:lang w:val="en-US" w:eastAsia="zh-CN"/>
        </w:rPr>
        <w:t>四要</w:t>
      </w:r>
      <w:r>
        <w:rPr>
          <w:rFonts w:hint="eastAsia" w:ascii="仿宋_GB2312" w:hAnsi="仿宋_GB2312" w:eastAsia="仿宋_GB2312" w:cs="仿宋_GB2312"/>
          <w:b/>
          <w:bCs/>
          <w:color w:val="auto"/>
          <w:kern w:val="0"/>
          <w:sz w:val="32"/>
          <w:szCs w:val="32"/>
          <w:highlight w:val="none"/>
          <w:shd w:val="clear"/>
          <w:lang w:val="en-US" w:eastAsia="zh-CN" w:bidi="ar"/>
        </w:rPr>
        <w:t>推进健康临翔建设。</w:t>
      </w:r>
      <w:r>
        <w:rPr>
          <w:rFonts w:hint="eastAsia" w:ascii="仿宋_GB2312" w:hAnsi="仿宋_GB2312" w:eastAsia="仿宋_GB2312" w:cs="仿宋_GB2312"/>
          <w:color w:val="auto"/>
          <w:spacing w:val="-6"/>
          <w:sz w:val="32"/>
          <w:szCs w:val="32"/>
          <w:lang w:val="en-US" w:eastAsia="zh-CN"/>
        </w:rPr>
        <w:t>完善疾病预防控制体系，全面推进紧密型医共体建设，</w:t>
      </w:r>
      <w:r>
        <w:rPr>
          <w:rFonts w:hint="eastAsia" w:ascii="仿宋_GB2312" w:hAnsi="仿宋_GB2312" w:eastAsia="仿宋_GB2312" w:cs="仿宋_GB2312"/>
          <w:color w:val="auto"/>
          <w:kern w:val="0"/>
          <w:sz w:val="32"/>
          <w:szCs w:val="32"/>
          <w:highlight w:val="none"/>
          <w:lang w:bidi="ar"/>
        </w:rPr>
        <w:t>持续开展医院提质达标</w:t>
      </w:r>
      <w:r>
        <w:rPr>
          <w:rFonts w:hint="eastAsia" w:ascii="仿宋_GB2312" w:hAnsi="仿宋_GB2312" w:eastAsia="仿宋_GB2312" w:cs="仿宋_GB2312"/>
          <w:color w:val="auto"/>
          <w:kern w:val="0"/>
          <w:sz w:val="32"/>
          <w:szCs w:val="32"/>
          <w:highlight w:val="none"/>
          <w:lang w:eastAsia="zh-CN" w:bidi="ar"/>
        </w:rPr>
        <w:t>工作</w:t>
      </w:r>
      <w:r>
        <w:rPr>
          <w:rFonts w:hint="eastAsia" w:ascii="仿宋_GB2312" w:hAnsi="仿宋_GB2312" w:eastAsia="仿宋_GB2312" w:cs="仿宋_GB2312"/>
          <w:color w:val="auto"/>
          <w:kern w:val="0"/>
          <w:sz w:val="32"/>
          <w:szCs w:val="32"/>
          <w:highlight w:val="none"/>
          <w:lang w:bidi="ar"/>
        </w:rPr>
        <w:t>，解决群众看病就医难题。</w:t>
      </w:r>
      <w:r>
        <w:rPr>
          <w:rFonts w:hint="eastAsia" w:ascii="仿宋_GB2312" w:hAnsi="仿宋_GB2312" w:eastAsia="仿宋_GB2312" w:cs="仿宋_GB2312"/>
          <w:color w:val="auto"/>
          <w:spacing w:val="-6"/>
          <w:sz w:val="32"/>
          <w:szCs w:val="32"/>
          <w:lang w:val="en-US" w:eastAsia="zh-CN"/>
        </w:rPr>
        <w:t>确保居民基本医疗和大病保险参保率及基础免疫疫苗接种率达均95%以上。</w:t>
      </w:r>
      <w:r>
        <w:rPr>
          <w:rFonts w:hint="eastAsia" w:ascii="仿宋_GB2312" w:hAnsi="仿宋_GB2312" w:eastAsia="仿宋_GB2312" w:cs="仿宋_GB2312"/>
          <w:b/>
          <w:bCs/>
          <w:color w:val="auto"/>
          <w:spacing w:val="-6"/>
          <w:sz w:val="32"/>
          <w:szCs w:val="32"/>
          <w:lang w:val="en-US" w:eastAsia="zh-CN"/>
        </w:rPr>
        <w:t>五要推进文体事业发展</w:t>
      </w:r>
      <w:r>
        <w:rPr>
          <w:rFonts w:hint="eastAsia" w:ascii="仿宋_GB2312" w:hAnsi="仿宋_GB2312" w:eastAsia="仿宋_GB2312" w:cs="仿宋_GB2312"/>
          <w:b/>
          <w:bCs/>
          <w:color w:val="auto"/>
          <w:kern w:val="0"/>
          <w:sz w:val="32"/>
          <w:szCs w:val="32"/>
          <w:highlight w:val="none"/>
          <w:shd w:val="clear"/>
          <w:lang w:val="en-US" w:eastAsia="zh-CN" w:bidi="ar"/>
        </w:rPr>
        <w:t>。</w:t>
      </w:r>
      <w:r>
        <w:rPr>
          <w:rFonts w:hint="eastAsia" w:ascii="仿宋_GB2312" w:hAnsi="仿宋_GB2312" w:eastAsia="仿宋_GB2312" w:cs="仿宋_GB2312"/>
          <w:color w:val="auto"/>
          <w:kern w:val="0"/>
          <w:sz w:val="32"/>
          <w:szCs w:val="32"/>
          <w:highlight w:val="none"/>
          <w:lang w:bidi="ar"/>
        </w:rPr>
        <w:t>推进文化遗产</w:t>
      </w:r>
      <w:r>
        <w:rPr>
          <w:rFonts w:hint="eastAsia" w:ascii="仿宋_GB2312" w:hAnsi="仿宋_GB2312" w:eastAsia="仿宋_GB2312" w:cs="仿宋_GB2312"/>
          <w:color w:val="auto"/>
          <w:kern w:val="0"/>
          <w:sz w:val="32"/>
          <w:szCs w:val="32"/>
          <w:highlight w:val="none"/>
          <w:lang w:eastAsia="zh-CN" w:bidi="ar"/>
        </w:rPr>
        <w:t>、</w:t>
      </w:r>
      <w:r>
        <w:rPr>
          <w:rFonts w:hint="eastAsia" w:ascii="仿宋_GB2312" w:hAnsi="仿宋_GB2312" w:eastAsia="仿宋_GB2312" w:cs="仿宋_GB2312"/>
          <w:color w:val="auto"/>
          <w:kern w:val="0"/>
          <w:sz w:val="32"/>
          <w:szCs w:val="32"/>
          <w:highlight w:val="none"/>
          <w:lang w:bidi="ar"/>
        </w:rPr>
        <w:t>革命遗址、文物保护利用</w:t>
      </w:r>
      <w:r>
        <w:rPr>
          <w:rFonts w:hint="eastAsia" w:ascii="仿宋_GB2312" w:hAnsi="仿宋_GB2312" w:eastAsia="仿宋_GB2312" w:cs="仿宋_GB2312"/>
          <w:color w:val="auto"/>
          <w:kern w:val="0"/>
          <w:sz w:val="32"/>
          <w:szCs w:val="32"/>
          <w:highlight w:val="none"/>
          <w:lang w:eastAsia="zh-CN" w:bidi="ar"/>
        </w:rPr>
        <w:t>、</w:t>
      </w:r>
      <w:r>
        <w:rPr>
          <w:rFonts w:hint="eastAsia" w:ascii="仿宋_GB2312" w:hAnsi="仿宋_GB2312" w:eastAsia="仿宋_GB2312" w:cs="仿宋_GB2312"/>
          <w:color w:val="auto"/>
          <w:kern w:val="0"/>
          <w:sz w:val="32"/>
          <w:szCs w:val="32"/>
          <w:highlight w:val="none"/>
          <w:lang w:bidi="ar"/>
        </w:rPr>
        <w:t>古文献收集整理研究和博物馆建设</w:t>
      </w:r>
      <w:r>
        <w:rPr>
          <w:rFonts w:hint="eastAsia" w:ascii="仿宋_GB2312" w:hAnsi="仿宋_GB2312" w:eastAsia="仿宋_GB2312" w:cs="仿宋_GB2312"/>
          <w:color w:val="auto"/>
          <w:kern w:val="0"/>
          <w:sz w:val="32"/>
          <w:szCs w:val="32"/>
          <w:highlight w:val="none"/>
          <w:lang w:eastAsia="zh-CN" w:bidi="ar"/>
        </w:rPr>
        <w:t>；加强</w:t>
      </w:r>
      <w:r>
        <w:rPr>
          <w:rFonts w:hint="eastAsia" w:ascii="仿宋_GB2312" w:hAnsi="仿宋_GB2312" w:eastAsia="仿宋_GB2312" w:cs="仿宋_GB2312"/>
          <w:color w:val="auto"/>
          <w:kern w:val="0"/>
          <w:sz w:val="32"/>
          <w:szCs w:val="32"/>
          <w:highlight w:val="none"/>
          <w:lang w:bidi="ar"/>
        </w:rPr>
        <w:t>历史文化名镇</w:t>
      </w:r>
      <w:r>
        <w:rPr>
          <w:rFonts w:hint="eastAsia" w:ascii="仿宋_GB2312" w:hAnsi="仿宋_GB2312" w:eastAsia="仿宋_GB2312" w:cs="仿宋_GB2312"/>
          <w:color w:val="auto"/>
          <w:kern w:val="0"/>
          <w:sz w:val="32"/>
          <w:szCs w:val="32"/>
          <w:highlight w:val="none"/>
          <w:lang w:val="en-US" w:eastAsia="zh-CN" w:bidi="ar"/>
        </w:rPr>
        <w:t>和</w:t>
      </w:r>
      <w:r>
        <w:rPr>
          <w:rFonts w:hint="eastAsia" w:ascii="仿宋_GB2312" w:hAnsi="仿宋_GB2312" w:eastAsia="仿宋_GB2312" w:cs="仿宋_GB2312"/>
          <w:color w:val="auto"/>
          <w:kern w:val="0"/>
          <w:sz w:val="32"/>
          <w:szCs w:val="32"/>
          <w:highlight w:val="none"/>
          <w:lang w:bidi="ar"/>
        </w:rPr>
        <w:t>名村保护</w:t>
      </w:r>
      <w:r>
        <w:rPr>
          <w:rFonts w:hint="eastAsia" w:ascii="仿宋_GB2312" w:hAnsi="仿宋_GB2312" w:eastAsia="仿宋_GB2312" w:cs="仿宋_GB2312"/>
          <w:color w:val="auto"/>
          <w:kern w:val="0"/>
          <w:sz w:val="32"/>
          <w:szCs w:val="32"/>
          <w:highlight w:val="none"/>
          <w:lang w:eastAsia="zh-CN" w:bidi="ar"/>
        </w:rPr>
        <w:t>；</w:t>
      </w:r>
      <w:r>
        <w:rPr>
          <w:rFonts w:hint="eastAsia" w:ascii="仿宋_GB2312" w:hAnsi="仿宋_GB2312" w:eastAsia="仿宋_GB2312" w:cs="仿宋_GB2312"/>
          <w:color w:val="auto"/>
          <w:spacing w:val="-6"/>
          <w:sz w:val="32"/>
          <w:szCs w:val="32"/>
        </w:rPr>
        <w:t>深入开展全民健身活动，</w:t>
      </w:r>
      <w:r>
        <w:rPr>
          <w:rFonts w:hint="eastAsia" w:ascii="仿宋_GB2312" w:hAnsi="仿宋_GB2312" w:eastAsia="仿宋_GB2312" w:cs="仿宋_GB2312"/>
          <w:color w:val="auto"/>
          <w:spacing w:val="-6"/>
          <w:sz w:val="32"/>
          <w:szCs w:val="32"/>
          <w:lang w:eastAsia="zh-CN"/>
        </w:rPr>
        <w:t>进一步完善体育公共服务设施。</w:t>
      </w:r>
      <w:r>
        <w:rPr>
          <w:rFonts w:hint="eastAsia" w:ascii="仿宋_GB2312" w:hAnsi="仿宋_GB2312" w:eastAsia="仿宋_GB2312" w:cs="仿宋_GB2312"/>
          <w:b/>
          <w:bCs/>
          <w:color w:val="auto"/>
          <w:spacing w:val="-6"/>
          <w:sz w:val="32"/>
          <w:szCs w:val="32"/>
          <w:lang w:val="en-US" w:eastAsia="zh-CN"/>
        </w:rPr>
        <w:t>六要</w:t>
      </w:r>
      <w:r>
        <w:rPr>
          <w:rFonts w:hint="eastAsia" w:ascii="仿宋_GB2312" w:hAnsi="仿宋_GB2312" w:eastAsia="仿宋_GB2312" w:cs="仿宋_GB2312"/>
          <w:b/>
          <w:bCs/>
          <w:color w:val="auto"/>
          <w:kern w:val="0"/>
          <w:sz w:val="32"/>
          <w:szCs w:val="32"/>
          <w:highlight w:val="none"/>
          <w:shd w:val="clear"/>
          <w:lang w:val="en-US" w:eastAsia="zh-CN" w:bidi="ar"/>
        </w:rPr>
        <w:t>全力做好服务保障。</w:t>
      </w:r>
      <w:r>
        <w:rPr>
          <w:rFonts w:hint="eastAsia" w:ascii="仿宋_GB2312" w:hAnsi="仿宋_GB2312" w:eastAsia="仿宋_GB2312" w:cs="仿宋_GB2312"/>
          <w:color w:val="auto"/>
          <w:sz w:val="32"/>
          <w:szCs w:val="32"/>
          <w:lang w:bidi="ar"/>
        </w:rPr>
        <w:t>完善覆盖全民社会保障体系，健全统筹城乡可持续的社会保险制度</w:t>
      </w:r>
      <w:r>
        <w:rPr>
          <w:rFonts w:hint="eastAsia"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sz w:val="32"/>
          <w:szCs w:val="32"/>
          <w:lang w:bidi="ar"/>
        </w:rPr>
        <w:t>抓好双拥共建，促进军民融合创新发展，提升国防建设水平</w:t>
      </w:r>
      <w:r>
        <w:rPr>
          <w:rFonts w:hint="eastAsia"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sz w:val="32"/>
          <w:szCs w:val="32"/>
          <w:lang w:bidi="ar"/>
        </w:rPr>
        <w:t>落实好拥军优属政策，做好退役军人就业安置技能培训、军烈属服务、军人家属随调、子女入学等保障工作</w:t>
      </w:r>
      <w:r>
        <w:rPr>
          <w:rFonts w:hint="eastAsia"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kern w:val="2"/>
          <w:sz w:val="32"/>
          <w:szCs w:val="32"/>
          <w:shd w:val="clear"/>
          <w:lang w:val="en-US" w:eastAsia="zh-CN" w:bidi="ar"/>
        </w:rPr>
        <w:t>持续深化殡葬改革，推进区、乡、村殡葬基础设施建设；</w:t>
      </w:r>
      <w:r>
        <w:rPr>
          <w:rFonts w:hint="eastAsia" w:ascii="仿宋_GB2312" w:hAnsi="仿宋_GB2312" w:eastAsia="仿宋_GB2312" w:cs="仿宋_GB2312"/>
          <w:color w:val="auto"/>
          <w:spacing w:val="-6"/>
          <w:sz w:val="32"/>
          <w:szCs w:val="32"/>
          <w:lang w:val="en-US" w:eastAsia="zh-CN"/>
        </w:rPr>
        <w:t>培育养老新业态，不断完善老年人、残疾人服务体系和设施；确保基本养老保险参保率达97%以上。</w:t>
      </w:r>
      <w:r>
        <w:rPr>
          <w:rFonts w:hint="eastAsia" w:ascii="仿宋_GB2312" w:hAnsi="仿宋_GB2312" w:eastAsia="仿宋_GB2312" w:cs="仿宋_GB2312"/>
          <w:b/>
          <w:bCs/>
          <w:color w:val="auto"/>
          <w:spacing w:val="-6"/>
          <w:sz w:val="32"/>
          <w:szCs w:val="32"/>
          <w:lang w:val="en-US" w:eastAsia="zh-CN"/>
        </w:rPr>
        <w:t>七要</w:t>
      </w:r>
      <w:r>
        <w:rPr>
          <w:rFonts w:hint="eastAsia" w:ascii="仿宋_GB2312" w:hAnsi="仿宋_GB2312" w:eastAsia="仿宋_GB2312" w:cs="仿宋_GB2312"/>
          <w:b/>
          <w:bCs/>
          <w:color w:val="auto"/>
          <w:sz w:val="32"/>
          <w:szCs w:val="32"/>
          <w:lang w:val="en-US" w:eastAsia="zh-CN" w:bidi="ar"/>
        </w:rPr>
        <w:t>推进法治临翔建设。</w:t>
      </w:r>
      <w:r>
        <w:rPr>
          <w:rFonts w:hint="eastAsia" w:ascii="仿宋_GB2312" w:hAnsi="仿宋_GB2312" w:eastAsia="仿宋_GB2312" w:cs="仿宋_GB2312"/>
          <w:b w:val="0"/>
          <w:bCs w:val="0"/>
          <w:color w:val="auto"/>
          <w:spacing w:val="-6"/>
          <w:sz w:val="32"/>
          <w:szCs w:val="32"/>
          <w:lang w:eastAsia="zh-CN" w:bidi="ar"/>
        </w:rPr>
        <w:t>严打跨境违法、电信诈骗等各类违法犯罪，</w:t>
      </w:r>
      <w:r>
        <w:rPr>
          <w:rFonts w:hint="eastAsia" w:ascii="仿宋_GB2312" w:hAnsi="仿宋_GB2312" w:eastAsia="仿宋_GB2312" w:cs="仿宋_GB2312"/>
          <w:b w:val="0"/>
          <w:bCs w:val="0"/>
          <w:color w:val="auto"/>
          <w:spacing w:val="-6"/>
          <w:sz w:val="32"/>
          <w:szCs w:val="32"/>
          <w:lang w:bidi="ar"/>
        </w:rPr>
        <w:t>打好第五轮禁毒和防艾人民战争，</w:t>
      </w:r>
      <w:r>
        <w:rPr>
          <w:rFonts w:hint="eastAsia" w:ascii="仿宋_GB2312" w:hAnsi="仿宋_GB2312" w:eastAsia="仿宋_GB2312" w:cs="仿宋_GB2312"/>
          <w:b w:val="0"/>
          <w:bCs w:val="0"/>
          <w:color w:val="auto"/>
          <w:spacing w:val="-6"/>
          <w:sz w:val="32"/>
          <w:szCs w:val="32"/>
          <w:lang w:eastAsia="zh-CN" w:bidi="ar"/>
        </w:rPr>
        <w:t>推进</w:t>
      </w:r>
      <w:r>
        <w:rPr>
          <w:rFonts w:hint="eastAsia" w:ascii="仿宋_GB2312" w:hAnsi="仿宋_GB2312" w:eastAsia="仿宋_GB2312" w:cs="仿宋_GB2312"/>
          <w:b w:val="0"/>
          <w:bCs w:val="0"/>
          <w:color w:val="auto"/>
          <w:spacing w:val="-6"/>
          <w:kern w:val="2"/>
          <w:sz w:val="32"/>
          <w:szCs w:val="32"/>
          <w:lang w:val="en-US" w:eastAsia="zh-CN" w:bidi="ar"/>
        </w:rPr>
        <w:t>扫</w:t>
      </w:r>
      <w:r>
        <w:rPr>
          <w:rFonts w:hint="eastAsia" w:ascii="仿宋_GB2312" w:hAnsi="仿宋_GB2312" w:eastAsia="仿宋_GB2312" w:cs="仿宋_GB2312"/>
          <w:b w:val="0"/>
          <w:bCs w:val="0"/>
          <w:color w:val="auto"/>
          <w:spacing w:val="-6"/>
          <w:sz w:val="32"/>
          <w:szCs w:val="32"/>
          <w:lang w:bidi="ar"/>
        </w:rPr>
        <w:t>黑除</w:t>
      </w:r>
      <w:r>
        <w:rPr>
          <w:rFonts w:hint="eastAsia" w:ascii="仿宋_GB2312" w:hAnsi="仿宋_GB2312" w:eastAsia="仿宋_GB2312" w:cs="仿宋_GB2312"/>
          <w:b w:val="0"/>
          <w:bCs w:val="0"/>
          <w:color w:val="auto"/>
          <w:spacing w:val="-6"/>
          <w:sz w:val="32"/>
          <w:szCs w:val="32"/>
          <w:lang w:eastAsia="zh-CN" w:bidi="ar"/>
        </w:rPr>
        <w:t>恶专项</w:t>
      </w:r>
      <w:r>
        <w:rPr>
          <w:rFonts w:hint="eastAsia" w:ascii="仿宋_GB2312" w:hAnsi="仿宋_GB2312" w:eastAsia="仿宋_GB2312" w:cs="仿宋_GB2312"/>
          <w:b w:val="0"/>
          <w:bCs w:val="0"/>
          <w:color w:val="auto"/>
          <w:spacing w:val="-6"/>
          <w:sz w:val="32"/>
          <w:szCs w:val="32"/>
          <w:lang w:bidi="ar"/>
        </w:rPr>
        <w:t>斗争常态化</w:t>
      </w:r>
      <w:r>
        <w:rPr>
          <w:rFonts w:hint="eastAsia" w:ascii="仿宋_GB2312" w:hAnsi="仿宋_GB2312" w:eastAsia="仿宋_GB2312" w:cs="仿宋_GB2312"/>
          <w:b w:val="0"/>
          <w:bCs w:val="0"/>
          <w:color w:val="auto"/>
          <w:spacing w:val="-6"/>
          <w:sz w:val="32"/>
          <w:szCs w:val="32"/>
          <w:lang w:eastAsia="zh-CN" w:bidi="ar"/>
        </w:rPr>
        <w:t>；</w:t>
      </w:r>
      <w:r>
        <w:rPr>
          <w:rFonts w:hint="eastAsia" w:ascii="仿宋_GB2312" w:hAnsi="仿宋_GB2312" w:eastAsia="仿宋_GB2312" w:cs="仿宋_GB2312"/>
          <w:b w:val="0"/>
          <w:bCs w:val="0"/>
          <w:color w:val="auto"/>
          <w:spacing w:val="-6"/>
          <w:sz w:val="32"/>
          <w:szCs w:val="32"/>
          <w:lang w:val="en-US" w:eastAsia="zh-CN" w:bidi="ar"/>
        </w:rPr>
        <w:t>加</w:t>
      </w:r>
      <w:r>
        <w:rPr>
          <w:rFonts w:hint="eastAsia" w:ascii="仿宋_GB2312" w:hAnsi="仿宋_GB2312" w:eastAsia="仿宋_GB2312" w:cs="仿宋_GB2312"/>
          <w:b w:val="0"/>
          <w:bCs w:val="0"/>
          <w:color w:val="auto"/>
          <w:spacing w:val="-6"/>
          <w:sz w:val="32"/>
          <w:szCs w:val="32"/>
          <w:lang w:eastAsia="zh-CN" w:bidi="ar"/>
        </w:rPr>
        <w:t>强“智慧警务”、</w:t>
      </w:r>
      <w:r>
        <w:rPr>
          <w:rFonts w:hint="eastAsia" w:ascii="仿宋_GB2312" w:hAnsi="仿宋_GB2312" w:eastAsia="仿宋_GB2312" w:cs="仿宋_GB2312"/>
          <w:b w:val="0"/>
          <w:bCs w:val="0"/>
          <w:color w:val="auto"/>
          <w:spacing w:val="-6"/>
          <w:sz w:val="32"/>
          <w:szCs w:val="32"/>
          <w:lang w:bidi="ar"/>
        </w:rPr>
        <w:t>“雪亮工程”、“智慧安防小区+刷脸工程”建设</w:t>
      </w:r>
      <w:r>
        <w:rPr>
          <w:rFonts w:hint="eastAsia" w:ascii="仿宋_GB2312" w:hAnsi="仿宋_GB2312" w:eastAsia="仿宋_GB2312" w:cs="仿宋_GB2312"/>
          <w:b w:val="0"/>
          <w:bCs w:val="0"/>
          <w:color w:val="auto"/>
          <w:spacing w:val="-6"/>
          <w:sz w:val="32"/>
          <w:szCs w:val="32"/>
          <w:lang w:eastAsia="zh-CN" w:bidi="ar"/>
        </w:rPr>
        <w:t>；</w:t>
      </w:r>
      <w:r>
        <w:rPr>
          <w:rFonts w:hint="eastAsia" w:ascii="仿宋_GB2312" w:hAnsi="仿宋_GB2312" w:eastAsia="仿宋_GB2312" w:cs="仿宋_GB2312"/>
          <w:color w:val="auto"/>
          <w:spacing w:val="-6"/>
          <w:sz w:val="32"/>
          <w:szCs w:val="32"/>
          <w:lang w:bidi="ar"/>
        </w:rPr>
        <w:t>健全矛盾纠纷多元化解机制，围绕平安、无毒、无赌和民主法治“四村联创”目标，</w:t>
      </w:r>
      <w:r>
        <w:rPr>
          <w:rFonts w:hint="eastAsia" w:ascii="仿宋_GB2312" w:hAnsi="仿宋_GB2312" w:eastAsia="仿宋_GB2312" w:cs="仿宋_GB2312"/>
          <w:color w:val="auto"/>
          <w:spacing w:val="-6"/>
          <w:sz w:val="32"/>
          <w:szCs w:val="32"/>
          <w:lang w:eastAsia="zh-CN" w:bidi="ar"/>
        </w:rPr>
        <w:t>推进平安临翔建设</w:t>
      </w:r>
      <w:r>
        <w:rPr>
          <w:rFonts w:hint="eastAsia" w:ascii="仿宋_GB2312" w:hAnsi="仿宋_GB2312" w:eastAsia="仿宋_GB2312" w:cs="仿宋_GB2312"/>
          <w:color w:val="auto"/>
          <w:spacing w:val="-6"/>
          <w:sz w:val="32"/>
          <w:szCs w:val="32"/>
          <w:lang w:bidi="ar"/>
        </w:rPr>
        <w:t>。</w:t>
      </w:r>
      <w:r>
        <w:rPr>
          <w:rFonts w:hint="eastAsia" w:ascii="仿宋_GB2312" w:hAnsi="仿宋_GB2312" w:eastAsia="仿宋_GB2312" w:cs="仿宋_GB2312"/>
          <w:b/>
          <w:bCs/>
          <w:color w:val="auto"/>
          <w:spacing w:val="-6"/>
          <w:sz w:val="32"/>
          <w:szCs w:val="32"/>
          <w:lang w:val="en-US" w:eastAsia="zh-CN" w:bidi="ar"/>
        </w:rPr>
        <w:t>八要铸牢中华民族共同体意识</w:t>
      </w:r>
      <w:r>
        <w:rPr>
          <w:rFonts w:hint="eastAsia" w:ascii="仿宋_GB2312" w:hAnsi="仿宋_GB2312" w:eastAsia="仿宋_GB2312" w:cs="仿宋_GB2312"/>
          <w:b w:val="0"/>
          <w:bCs w:val="0"/>
          <w:color w:val="auto"/>
          <w:spacing w:val="-6"/>
          <w:sz w:val="32"/>
          <w:szCs w:val="32"/>
          <w:lang w:val="en-US" w:eastAsia="zh-CN" w:bidi="ar"/>
        </w:rPr>
        <w:t>。</w:t>
      </w:r>
      <w:r>
        <w:rPr>
          <w:rFonts w:hint="eastAsia" w:ascii="仿宋_GB2312" w:hAnsi="仿宋_GB2312" w:eastAsia="仿宋_GB2312" w:cs="仿宋_GB2312"/>
          <w:color w:val="auto"/>
          <w:spacing w:val="-6"/>
          <w:sz w:val="32"/>
          <w:szCs w:val="32"/>
          <w:lang w:bidi="ar"/>
        </w:rPr>
        <w:t>深入开展民族团结进步</w:t>
      </w:r>
      <w:r>
        <w:rPr>
          <w:rFonts w:hint="eastAsia" w:ascii="仿宋_GB2312" w:hAnsi="仿宋_GB2312" w:eastAsia="仿宋_GB2312" w:cs="仿宋_GB2312"/>
          <w:color w:val="auto"/>
          <w:spacing w:val="-6"/>
          <w:sz w:val="32"/>
          <w:szCs w:val="32"/>
          <w:lang w:eastAsia="zh-CN" w:bidi="ar"/>
        </w:rPr>
        <w:t>示范</w:t>
      </w:r>
      <w:r>
        <w:rPr>
          <w:rFonts w:hint="eastAsia" w:ascii="仿宋_GB2312" w:hAnsi="仿宋_GB2312" w:eastAsia="仿宋_GB2312" w:cs="仿宋_GB2312"/>
          <w:color w:val="auto"/>
          <w:spacing w:val="-6"/>
          <w:sz w:val="32"/>
          <w:szCs w:val="32"/>
          <w:lang w:bidi="ar"/>
        </w:rPr>
        <w:t>创建“十进”活动</w:t>
      </w:r>
      <w:r>
        <w:rPr>
          <w:rFonts w:hint="eastAsia" w:ascii="仿宋_GB2312" w:hAnsi="仿宋_GB2312" w:eastAsia="仿宋_GB2312" w:cs="仿宋_GB2312"/>
          <w:color w:val="auto"/>
          <w:spacing w:val="-6"/>
          <w:sz w:val="32"/>
          <w:szCs w:val="32"/>
          <w:lang w:eastAsia="zh-CN" w:bidi="ar"/>
        </w:rPr>
        <w:t>，</w:t>
      </w:r>
      <w:r>
        <w:rPr>
          <w:rFonts w:hint="eastAsia" w:ascii="仿宋_GB2312" w:hAnsi="仿宋_GB2312" w:eastAsia="仿宋_GB2312" w:cs="仿宋_GB2312"/>
          <w:color w:val="auto"/>
          <w:spacing w:val="-6"/>
          <w:sz w:val="32"/>
          <w:szCs w:val="32"/>
          <w:lang w:bidi="ar"/>
        </w:rPr>
        <w:t>推动</w:t>
      </w:r>
      <w:r>
        <w:rPr>
          <w:rFonts w:hint="eastAsia" w:ascii="仿宋_GB2312" w:hAnsi="仿宋_GB2312" w:eastAsia="仿宋_GB2312" w:cs="仿宋_GB2312"/>
          <w:color w:val="auto"/>
          <w:spacing w:val="-6"/>
          <w:sz w:val="32"/>
          <w:szCs w:val="32"/>
          <w:lang w:eastAsia="zh-CN" w:bidi="ar"/>
        </w:rPr>
        <w:t>优秀民族</w:t>
      </w:r>
      <w:r>
        <w:rPr>
          <w:rFonts w:hint="eastAsia" w:ascii="仿宋_GB2312" w:hAnsi="仿宋_GB2312" w:eastAsia="仿宋_GB2312" w:cs="仿宋_GB2312"/>
          <w:color w:val="auto"/>
          <w:spacing w:val="-6"/>
          <w:sz w:val="32"/>
          <w:szCs w:val="32"/>
          <w:lang w:bidi="ar"/>
        </w:rPr>
        <w:t>文化传承保护</w:t>
      </w:r>
      <w:r>
        <w:rPr>
          <w:rFonts w:hint="eastAsia" w:ascii="仿宋_GB2312" w:hAnsi="仿宋_GB2312" w:eastAsia="仿宋_GB2312" w:cs="仿宋_GB2312"/>
          <w:color w:val="auto"/>
          <w:spacing w:val="-6"/>
          <w:sz w:val="32"/>
          <w:szCs w:val="32"/>
          <w:lang w:eastAsia="zh-CN" w:bidi="ar"/>
        </w:rPr>
        <w:t>；</w:t>
      </w:r>
      <w:r>
        <w:rPr>
          <w:rFonts w:hint="eastAsia" w:ascii="仿宋_GB2312" w:hAnsi="仿宋_GB2312" w:eastAsia="仿宋_GB2312" w:cs="仿宋_GB2312"/>
          <w:color w:val="auto"/>
          <w:sz w:val="32"/>
          <w:szCs w:val="32"/>
          <w:lang w:bidi="ar"/>
        </w:rPr>
        <w:t>依法管理宗教事务</w:t>
      </w:r>
      <w:r>
        <w:rPr>
          <w:rFonts w:hint="eastAsia"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sz w:val="32"/>
          <w:szCs w:val="32"/>
          <w:lang w:val="en-US" w:eastAsia="zh-CN" w:bidi="ar"/>
        </w:rPr>
        <w:t>持续</w:t>
      </w:r>
      <w:r>
        <w:rPr>
          <w:rFonts w:hint="eastAsia" w:ascii="仿宋_GB2312" w:hAnsi="仿宋_GB2312" w:eastAsia="仿宋_GB2312" w:cs="仿宋_GB2312"/>
          <w:color w:val="auto"/>
          <w:spacing w:val="-6"/>
          <w:sz w:val="32"/>
          <w:szCs w:val="32"/>
          <w:lang w:eastAsia="zh-CN" w:bidi="ar"/>
        </w:rPr>
        <w:t>推进宗教领域突出问题专项整治</w:t>
      </w:r>
      <w:r>
        <w:rPr>
          <w:rFonts w:hint="eastAsia" w:ascii="仿宋_GB2312" w:hAnsi="仿宋_GB2312" w:eastAsia="仿宋_GB2312" w:cs="仿宋_GB2312"/>
          <w:color w:val="auto"/>
          <w:spacing w:val="-6"/>
          <w:sz w:val="32"/>
          <w:szCs w:val="32"/>
          <w:lang w:val="en-US" w:eastAsia="zh-CN" w:bidi="ar"/>
        </w:rPr>
        <w:t>。</w:t>
      </w:r>
      <w:r>
        <w:rPr>
          <w:rFonts w:hint="eastAsia" w:ascii="仿宋_GB2312" w:hAnsi="仿宋_GB2312" w:eastAsia="仿宋_GB2312" w:cs="仿宋_GB2312"/>
          <w:b/>
          <w:bCs/>
          <w:color w:val="auto"/>
          <w:spacing w:val="-6"/>
          <w:sz w:val="32"/>
          <w:szCs w:val="32"/>
          <w:lang w:val="en-US" w:eastAsia="zh-CN" w:bidi="ar"/>
        </w:rPr>
        <w:t>九要</w:t>
      </w:r>
      <w:r>
        <w:rPr>
          <w:rFonts w:hint="eastAsia" w:ascii="仿宋_GB2312" w:hAnsi="仿宋_GB2312" w:eastAsia="仿宋_GB2312" w:cs="仿宋_GB2312"/>
          <w:b/>
          <w:bCs/>
          <w:color w:val="auto"/>
          <w:sz w:val="32"/>
          <w:szCs w:val="32"/>
          <w:lang w:val="en-US" w:eastAsia="zh-CN" w:bidi="ar"/>
        </w:rPr>
        <w:t>加强公共安全保障</w:t>
      </w:r>
      <w:r>
        <w:rPr>
          <w:rFonts w:hint="eastAsia" w:ascii="仿宋_GB2312" w:hAnsi="仿宋_GB2312" w:eastAsia="仿宋_GB2312" w:cs="仿宋_GB2312"/>
          <w:color w:val="auto"/>
          <w:sz w:val="32"/>
          <w:szCs w:val="32"/>
          <w:lang w:val="en-US" w:eastAsia="zh-CN" w:bidi="ar"/>
        </w:rPr>
        <w:t>。</w:t>
      </w:r>
      <w:r>
        <w:rPr>
          <w:rFonts w:hint="eastAsia" w:ascii="仿宋_GB2312" w:hAnsi="仿宋_GB2312" w:eastAsia="仿宋_GB2312" w:cs="仿宋_GB2312"/>
          <w:color w:val="auto"/>
          <w:sz w:val="32"/>
          <w:szCs w:val="32"/>
          <w:lang w:bidi="ar"/>
        </w:rPr>
        <w:t>压实安全生产责任，完善应急管理体系，加强重要物资储备能力建设，提高综合防灾减灾救灾能力，维护人民群众生命财产安全。</w:t>
      </w:r>
      <w:r>
        <w:rPr>
          <w:rFonts w:hint="eastAsia" w:ascii="仿宋_GB2312" w:hAnsi="仿宋_GB2312" w:eastAsia="仿宋_GB2312" w:cs="仿宋_GB2312"/>
          <w:b/>
          <w:bCs/>
          <w:color w:val="auto"/>
          <w:sz w:val="32"/>
          <w:szCs w:val="32"/>
          <w:lang w:val="en-US" w:eastAsia="zh-CN" w:bidi="ar"/>
        </w:rPr>
        <w:t>十要</w:t>
      </w:r>
      <w:r>
        <w:rPr>
          <w:rFonts w:hint="eastAsia" w:ascii="仿宋_GB2312" w:hAnsi="仿宋_GB2312" w:eastAsia="仿宋_GB2312" w:cs="仿宋_GB2312"/>
          <w:b/>
          <w:bCs/>
          <w:color w:val="auto"/>
          <w:spacing w:val="-6"/>
          <w:sz w:val="32"/>
          <w:szCs w:val="32"/>
          <w:lang w:val="en-US" w:eastAsia="zh-CN"/>
        </w:rPr>
        <w:t>协同推进各领域工作。</w:t>
      </w:r>
      <w:r>
        <w:rPr>
          <w:rFonts w:hint="eastAsia" w:ascii="仿宋_GB2312" w:hAnsi="仿宋_GB2312" w:eastAsia="仿宋_GB2312" w:cs="仿宋_GB2312"/>
          <w:color w:val="auto"/>
          <w:spacing w:val="-6"/>
          <w:sz w:val="32"/>
          <w:szCs w:val="32"/>
        </w:rPr>
        <w:t>加强食品药品、特种设备监管</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rPr>
        <w:t>消费维权</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lang w:val="en-US" w:eastAsia="zh-CN"/>
        </w:rPr>
        <w:t>市场保供稳价、森林防火、</w:t>
      </w:r>
      <w:r>
        <w:rPr>
          <w:rFonts w:hint="eastAsia" w:ascii="仿宋_GB2312" w:hAnsi="仿宋_GB2312" w:eastAsia="仿宋_GB2312" w:cs="仿宋_GB2312"/>
          <w:color w:val="auto"/>
          <w:spacing w:val="-6"/>
          <w:sz w:val="32"/>
          <w:szCs w:val="32"/>
        </w:rPr>
        <w:t>移民</w:t>
      </w:r>
      <w:r>
        <w:rPr>
          <w:rFonts w:hint="eastAsia" w:ascii="仿宋_GB2312" w:hAnsi="仿宋_GB2312" w:eastAsia="仿宋_GB2312" w:cs="仿宋_GB2312"/>
          <w:color w:val="auto"/>
          <w:spacing w:val="-6"/>
          <w:sz w:val="32"/>
          <w:szCs w:val="32"/>
          <w:lang w:eastAsia="zh-CN"/>
        </w:rPr>
        <w:t>安置</w:t>
      </w:r>
      <w:r>
        <w:rPr>
          <w:rFonts w:hint="eastAsia" w:ascii="仿宋_GB2312" w:hAnsi="仿宋_GB2312" w:eastAsia="仿宋_GB2312" w:cs="仿宋_GB2312"/>
          <w:color w:val="auto"/>
          <w:spacing w:val="-6"/>
          <w:sz w:val="32"/>
          <w:szCs w:val="32"/>
        </w:rPr>
        <w:t>、档案、气象、侨务、地震等各项工作。</w:t>
      </w:r>
    </w:p>
    <w:p>
      <w:pPr>
        <w:keepNext w:val="0"/>
        <w:keepLines w:val="0"/>
        <w:pageBreakBefore w:val="0"/>
        <w:widowControl w:val="0"/>
        <w:pBdr>
          <w:bottom w:val="single" w:color="FFFFFF" w:sz="4" w:space="28"/>
        </w:pBdr>
        <w:kinsoku/>
        <w:wordWrap/>
        <w:overflowPunct/>
        <w:topLinePunct w:val="0"/>
        <w:autoSpaceDE/>
        <w:autoSpaceDN/>
        <w:bidi w:val="0"/>
        <w:adjustRightInd/>
        <w:snapToGrid/>
        <w:spacing w:line="560" w:lineRule="exact"/>
        <w:ind w:right="0" w:rightChars="0" w:firstLine="616" w:firstLineChars="200"/>
        <w:jc w:val="both"/>
        <w:textAlignment w:val="baseline"/>
        <w:outlineLvl w:val="9"/>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各位代表，做好今年经济社会发展工作，任务艰巨、意义重大。我们将在区委的领导下，自觉接受区人大常委会法律监督和区政协的民主监督，全面落实大会的审查意见和决议，砥砺奋进新征程，用工作体现忠诚、用发展体现担当，努力完成全年目标任务，</w:t>
      </w:r>
      <w:r>
        <w:rPr>
          <w:rFonts w:hint="eastAsia" w:ascii="仿宋_GB2312" w:hAnsi="仿宋_GB2312" w:eastAsia="仿宋_GB2312" w:cs="仿宋_GB2312"/>
          <w:bCs w:val="0"/>
          <w:color w:val="auto"/>
          <w:spacing w:val="-6"/>
          <w:sz w:val="32"/>
          <w:szCs w:val="32"/>
          <w:highlight w:val="none"/>
          <w:shd w:val="clear"/>
          <w:lang w:val="en-US" w:eastAsia="zh-CN"/>
        </w:rPr>
        <w:t>以优异成绩迎接党的二十大胜利召开！</w:t>
      </w:r>
    </w:p>
    <w:p>
      <w:pPr>
        <w:keepNext w:val="0"/>
        <w:keepLines w:val="0"/>
        <w:pageBreakBefore w:val="0"/>
        <w:widowControl w:val="0"/>
        <w:pBdr>
          <w:bottom w:val="single" w:color="FFFFFF" w:sz="4" w:space="28"/>
        </w:pBdr>
        <w:kinsoku/>
        <w:wordWrap/>
        <w:overflowPunct/>
        <w:topLinePunct w:val="0"/>
        <w:autoSpaceDE/>
        <w:autoSpaceDN/>
        <w:bidi w:val="0"/>
        <w:adjustRightInd/>
        <w:snapToGrid/>
        <w:spacing w:line="560" w:lineRule="exact"/>
        <w:ind w:left="0" w:leftChars="0" w:right="0" w:rightChars="0" w:firstLine="616" w:firstLineChars="200"/>
        <w:jc w:val="both"/>
        <w:textAlignment w:val="baseline"/>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pacing w:val="-6"/>
          <w:sz w:val="32"/>
          <w:szCs w:val="32"/>
          <w:lang w:val="en-US" w:eastAsia="zh-CN"/>
        </w:rPr>
        <w:t>以上报告，请予审查。</w:t>
      </w:r>
    </w:p>
    <w:p>
      <w:pPr>
        <w:keepNext w:val="0"/>
        <w:keepLines w:val="0"/>
        <w:pageBreakBefore w:val="0"/>
        <w:widowControl w:val="0"/>
        <w:pBdr>
          <w:bottom w:val="single" w:color="FFFFFF" w:sz="4" w:space="28"/>
        </w:pBdr>
        <w:kinsoku/>
        <w:wordWrap/>
        <w:overflowPunct/>
        <w:topLinePunct w:val="0"/>
        <w:autoSpaceDE w:val="0"/>
        <w:autoSpaceDN/>
        <w:bidi w:val="0"/>
        <w:adjustRightInd/>
        <w:snapToGrid/>
        <w:spacing w:line="550" w:lineRule="exact"/>
        <w:ind w:left="0" w:leftChars="0" w:right="0" w:rightChars="0" w:firstLine="0" w:firstLineChars="0"/>
        <w:jc w:val="left"/>
        <w:textAlignment w:val="baseline"/>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pBdr>
          <w:bottom w:val="single" w:color="FFFFFF" w:sz="4" w:space="28"/>
        </w:pBdr>
        <w:kinsoku/>
        <w:wordWrap/>
        <w:overflowPunct/>
        <w:topLinePunct w:val="0"/>
        <w:autoSpaceDE w:val="0"/>
        <w:autoSpaceDN/>
        <w:bidi w:val="0"/>
        <w:snapToGrid/>
        <w:spacing w:line="550" w:lineRule="exact"/>
        <w:ind w:left="0" w:leftChars="0" w:right="0" w:rightChars="0" w:firstLine="640" w:firstLineChars="200"/>
        <w:jc w:val="left"/>
        <w:textAlignment w:val="baseline"/>
        <w:outlineLvl w:val="9"/>
        <w:rPr>
          <w:rFonts w:hint="eastAsia" w:ascii="仿宋_GB2312" w:hAnsi="仿宋_GB2312" w:eastAsia="仿宋_GB2312" w:cs="仿宋_GB2312"/>
          <w:color w:val="auto"/>
          <w:spacing w:val="-6"/>
          <w:sz w:val="30"/>
          <w:szCs w:val="30"/>
          <w:lang w:val="en-US" w:eastAsia="zh-CN"/>
        </w:rPr>
      </w:pPr>
      <w:r>
        <w:rPr>
          <w:rFonts w:hint="eastAsia" w:ascii="仿宋_GB2312" w:hAnsi="仿宋_GB2312" w:eastAsia="仿宋_GB2312" w:cs="仿宋_GB2312"/>
          <w:color w:val="auto"/>
          <w:sz w:val="32"/>
          <w:szCs w:val="32"/>
          <w:lang w:val="en-US" w:eastAsia="zh-CN"/>
        </w:rPr>
        <w:t>附件：1.</w:t>
      </w:r>
      <w:r>
        <w:rPr>
          <w:rFonts w:hint="eastAsia" w:ascii="仿宋_GB2312" w:hAnsi="仿宋_GB2312" w:eastAsia="仿宋_GB2312" w:cs="仿宋_GB2312"/>
          <w:color w:val="auto"/>
          <w:spacing w:val="-6"/>
          <w:sz w:val="30"/>
          <w:szCs w:val="30"/>
          <w:lang w:val="en-US" w:eastAsia="zh-CN"/>
        </w:rPr>
        <w:t>临翔区2021年国民经济和社会发展计划执行情况表</w:t>
      </w:r>
    </w:p>
    <w:p>
      <w:pPr>
        <w:keepNext w:val="0"/>
        <w:keepLines w:val="0"/>
        <w:pageBreakBefore w:val="0"/>
        <w:widowControl w:val="0"/>
        <w:pBdr>
          <w:bottom w:val="single" w:color="FFFFFF" w:sz="4" w:space="28"/>
        </w:pBdr>
        <w:kinsoku/>
        <w:wordWrap/>
        <w:overflowPunct/>
        <w:topLinePunct w:val="0"/>
        <w:autoSpaceDE w:val="0"/>
        <w:autoSpaceDN/>
        <w:bidi w:val="0"/>
        <w:snapToGrid/>
        <w:spacing w:line="550" w:lineRule="exact"/>
        <w:ind w:left="0" w:leftChars="0" w:right="0" w:rightChars="0" w:firstLine="1600" w:firstLineChars="500"/>
        <w:jc w:val="left"/>
        <w:textAlignment w:val="baseline"/>
        <w:outlineLvl w:val="9"/>
        <w:rPr>
          <w:rFonts w:hint="eastAsia" w:ascii="仿宋_GB2312" w:hAnsi="仿宋_GB2312" w:eastAsia="仿宋_GB2312" w:cs="仿宋_GB2312"/>
          <w:color w:val="auto"/>
          <w:spacing w:val="-6"/>
          <w:sz w:val="30"/>
          <w:szCs w:val="30"/>
          <w:lang w:val="en-US"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pacing w:val="-6"/>
          <w:sz w:val="30"/>
          <w:szCs w:val="30"/>
          <w:lang w:val="en-US" w:eastAsia="zh-CN"/>
        </w:rPr>
        <w:t>临翔区2022年国民经济和社会发展计划目标建议表</w:t>
      </w:r>
    </w:p>
    <w:p>
      <w:pPr>
        <w:keepNext w:val="0"/>
        <w:keepLines w:val="0"/>
        <w:pageBreakBefore w:val="0"/>
        <w:widowControl w:val="0"/>
        <w:numPr>
          <w:ilvl w:val="-1"/>
          <w:numId w:val="0"/>
        </w:numPr>
        <w:pBdr>
          <w:bottom w:val="single" w:color="FFFFFF" w:sz="4" w:space="28"/>
        </w:pBdr>
        <w:kinsoku/>
        <w:wordWrap/>
        <w:overflowPunct/>
        <w:topLinePunct w:val="0"/>
        <w:autoSpaceDE w:val="0"/>
        <w:autoSpaceDN/>
        <w:bidi w:val="0"/>
        <w:spacing w:line="550" w:lineRule="exact"/>
        <w:ind w:firstLine="0" w:firstLineChars="0"/>
        <w:jc w:val="left"/>
        <w:textAlignment w:val="baseline"/>
        <w:outlineLvl w:val="9"/>
        <w:rPr>
          <w:rFonts w:hint="eastAsia" w:ascii="仿宋_GB2312" w:hAnsi="仿宋_GB2312" w:eastAsia="仿宋_GB2312" w:cs="仿宋_GB2312"/>
          <w:color w:val="auto"/>
          <w:spacing w:val="-6"/>
          <w:sz w:val="30"/>
          <w:szCs w:val="30"/>
          <w:lang w:val="en-US" w:eastAsia="zh-CN"/>
        </w:rPr>
      </w:pPr>
    </w:p>
    <w:p>
      <w:pPr>
        <w:numPr>
          <w:ilvl w:val="-1"/>
          <w:numId w:val="0"/>
        </w:numPr>
        <w:pBdr>
          <w:bottom w:val="single" w:color="FFFFFF" w:sz="4" w:space="28"/>
        </w:pBdr>
        <w:autoSpaceDE w:val="0"/>
        <w:spacing w:line="540" w:lineRule="exact"/>
        <w:ind w:firstLine="0" w:firstLineChars="0"/>
        <w:jc w:val="left"/>
        <w:textAlignment w:val="baseline"/>
        <w:outlineLvl w:val="9"/>
        <w:rPr>
          <w:rFonts w:hint="default" w:ascii="Times New Roman" w:hAnsi="Times New Roman" w:eastAsia="方正仿宋_GBK" w:cs="Times New Roman"/>
          <w:color w:val="auto"/>
          <w:spacing w:val="-6"/>
          <w:sz w:val="30"/>
          <w:szCs w:val="30"/>
          <w:lang w:val="en-US" w:eastAsia="zh-CN"/>
        </w:rPr>
      </w:pPr>
    </w:p>
    <w:p>
      <w:pPr>
        <w:numPr>
          <w:ilvl w:val="-1"/>
          <w:numId w:val="0"/>
        </w:numPr>
        <w:pBdr>
          <w:bottom w:val="single" w:color="FFFFFF" w:sz="4" w:space="28"/>
        </w:pBdr>
        <w:autoSpaceDE w:val="0"/>
        <w:spacing w:line="540" w:lineRule="exact"/>
        <w:ind w:firstLine="0" w:firstLineChars="0"/>
        <w:jc w:val="left"/>
        <w:textAlignment w:val="baseline"/>
        <w:outlineLvl w:val="9"/>
        <w:rPr>
          <w:rFonts w:hint="default" w:ascii="Times New Roman" w:hAnsi="Times New Roman" w:eastAsia="方正仿宋_GBK" w:cs="Times New Roman"/>
          <w:color w:val="auto"/>
          <w:spacing w:val="-6"/>
          <w:sz w:val="30"/>
          <w:szCs w:val="30"/>
          <w:lang w:val="en-US" w:eastAsia="zh-CN"/>
        </w:rPr>
      </w:pPr>
    </w:p>
    <w:p>
      <w:pPr>
        <w:numPr>
          <w:ilvl w:val="-1"/>
          <w:numId w:val="0"/>
        </w:numPr>
        <w:pBdr>
          <w:bottom w:val="single" w:color="FFFFFF" w:sz="4" w:space="28"/>
        </w:pBdr>
        <w:autoSpaceDE w:val="0"/>
        <w:spacing w:line="540" w:lineRule="exact"/>
        <w:ind w:firstLine="0" w:firstLineChars="0"/>
        <w:jc w:val="left"/>
        <w:textAlignment w:val="baseline"/>
        <w:outlineLvl w:val="9"/>
        <w:rPr>
          <w:rFonts w:hint="default" w:ascii="Times New Roman" w:hAnsi="Times New Roman" w:eastAsia="方正仿宋_GBK" w:cs="Times New Roman"/>
          <w:color w:val="auto"/>
          <w:spacing w:val="-6"/>
          <w:sz w:val="30"/>
          <w:szCs w:val="30"/>
          <w:lang w:val="en-US" w:eastAsia="zh-CN"/>
        </w:rPr>
      </w:pPr>
    </w:p>
    <w:p>
      <w:pPr>
        <w:numPr>
          <w:ilvl w:val="-1"/>
          <w:numId w:val="0"/>
        </w:numPr>
        <w:pBdr>
          <w:bottom w:val="single" w:color="FFFFFF" w:sz="4" w:space="28"/>
        </w:pBdr>
        <w:autoSpaceDE w:val="0"/>
        <w:spacing w:line="540" w:lineRule="exact"/>
        <w:ind w:firstLine="0" w:firstLineChars="0"/>
        <w:jc w:val="left"/>
        <w:textAlignment w:val="baseline"/>
        <w:outlineLvl w:val="9"/>
        <w:rPr>
          <w:rFonts w:hint="default" w:ascii="Times New Roman" w:hAnsi="Times New Roman" w:eastAsia="方正仿宋_GBK" w:cs="Times New Roman"/>
          <w:color w:val="auto"/>
          <w:spacing w:val="-6"/>
          <w:sz w:val="30"/>
          <w:szCs w:val="30"/>
          <w:lang w:val="en-US" w:eastAsia="zh-CN"/>
        </w:rPr>
      </w:pPr>
    </w:p>
    <w:p>
      <w:pPr>
        <w:numPr>
          <w:ilvl w:val="-1"/>
          <w:numId w:val="0"/>
        </w:numPr>
        <w:pBdr>
          <w:bottom w:val="single" w:color="FFFFFF" w:sz="4" w:space="28"/>
        </w:pBdr>
        <w:autoSpaceDE w:val="0"/>
        <w:spacing w:line="540" w:lineRule="exact"/>
        <w:ind w:firstLine="0" w:firstLineChars="0"/>
        <w:jc w:val="left"/>
        <w:textAlignment w:val="baseline"/>
        <w:outlineLvl w:val="9"/>
        <w:rPr>
          <w:rFonts w:hint="default" w:ascii="Times New Roman" w:hAnsi="Times New Roman" w:eastAsia="方正仿宋_GBK" w:cs="Times New Roman"/>
          <w:color w:val="auto"/>
          <w:spacing w:val="-6"/>
          <w:sz w:val="30"/>
          <w:szCs w:val="30"/>
          <w:lang w:val="en-US" w:eastAsia="zh-CN"/>
        </w:rPr>
      </w:pPr>
    </w:p>
    <w:p>
      <w:pPr>
        <w:numPr>
          <w:ilvl w:val="-1"/>
          <w:numId w:val="0"/>
        </w:numPr>
        <w:pBdr>
          <w:bottom w:val="single" w:color="FFFFFF" w:sz="4" w:space="28"/>
        </w:pBdr>
        <w:autoSpaceDE w:val="0"/>
        <w:spacing w:line="540" w:lineRule="exact"/>
        <w:ind w:firstLine="0" w:firstLineChars="0"/>
        <w:jc w:val="left"/>
        <w:textAlignment w:val="baseline"/>
        <w:outlineLvl w:val="9"/>
        <w:rPr>
          <w:rFonts w:hint="default" w:ascii="Times New Roman" w:hAnsi="Times New Roman" w:eastAsia="方正仿宋_GBK" w:cs="Times New Roman"/>
          <w:color w:val="auto"/>
          <w:spacing w:val="-6"/>
          <w:sz w:val="30"/>
          <w:szCs w:val="30"/>
          <w:lang w:val="en-US" w:eastAsia="zh-CN"/>
        </w:rPr>
      </w:pPr>
    </w:p>
    <w:p>
      <w:pPr>
        <w:numPr>
          <w:ilvl w:val="-1"/>
          <w:numId w:val="0"/>
        </w:numPr>
        <w:pBdr>
          <w:bottom w:val="single" w:color="FFFFFF" w:sz="4" w:space="28"/>
        </w:pBdr>
        <w:autoSpaceDE w:val="0"/>
        <w:spacing w:line="540" w:lineRule="exact"/>
        <w:ind w:firstLine="0" w:firstLineChars="0"/>
        <w:jc w:val="left"/>
        <w:textAlignment w:val="baseline"/>
        <w:outlineLvl w:val="9"/>
        <w:rPr>
          <w:rFonts w:hint="default" w:ascii="Times New Roman" w:hAnsi="Times New Roman" w:eastAsia="方正仿宋_GBK" w:cs="Times New Roman"/>
          <w:color w:val="auto"/>
          <w:spacing w:val="-6"/>
          <w:sz w:val="30"/>
          <w:szCs w:val="30"/>
          <w:lang w:val="en-US" w:eastAsia="zh-CN"/>
        </w:rPr>
      </w:pPr>
    </w:p>
    <w:p>
      <w:pPr>
        <w:numPr>
          <w:ilvl w:val="-1"/>
          <w:numId w:val="0"/>
        </w:numPr>
        <w:pBdr>
          <w:bottom w:val="single" w:color="FFFFFF" w:sz="4" w:space="28"/>
        </w:pBdr>
        <w:autoSpaceDE w:val="0"/>
        <w:spacing w:line="540" w:lineRule="exact"/>
        <w:ind w:firstLine="0" w:firstLineChars="0"/>
        <w:jc w:val="left"/>
        <w:textAlignment w:val="baseline"/>
        <w:outlineLvl w:val="9"/>
        <w:rPr>
          <w:rFonts w:hint="default" w:ascii="Times New Roman" w:hAnsi="Times New Roman" w:eastAsia="方正仿宋_GBK" w:cs="Times New Roman"/>
          <w:color w:val="auto"/>
          <w:spacing w:val="-6"/>
          <w:sz w:val="30"/>
          <w:szCs w:val="30"/>
          <w:lang w:val="en-US" w:eastAsia="zh-CN"/>
        </w:rPr>
      </w:pPr>
    </w:p>
    <w:p>
      <w:pPr>
        <w:numPr>
          <w:ilvl w:val="-1"/>
          <w:numId w:val="0"/>
        </w:numPr>
        <w:pBdr>
          <w:bottom w:val="single" w:color="FFFFFF" w:sz="4" w:space="28"/>
        </w:pBdr>
        <w:autoSpaceDE w:val="0"/>
        <w:spacing w:line="540" w:lineRule="exact"/>
        <w:ind w:firstLine="0" w:firstLineChars="0"/>
        <w:jc w:val="left"/>
        <w:textAlignment w:val="baseline"/>
        <w:outlineLvl w:val="9"/>
        <w:rPr>
          <w:rFonts w:hint="default" w:ascii="Times New Roman" w:hAnsi="Times New Roman" w:eastAsia="方正仿宋_GBK" w:cs="Times New Roman"/>
          <w:color w:val="auto"/>
          <w:spacing w:val="-6"/>
          <w:sz w:val="30"/>
          <w:szCs w:val="30"/>
          <w:lang w:val="en-US" w:eastAsia="zh-CN"/>
        </w:rPr>
      </w:pPr>
    </w:p>
    <w:p>
      <w:pPr>
        <w:pStyle w:val="2"/>
        <w:spacing w:line="540" w:lineRule="exact"/>
        <w:rPr>
          <w:rFonts w:hint="default" w:ascii="Times New Roman" w:hAnsi="Times New Roman" w:eastAsia="方正仿宋_GBK" w:cs="Times New Roman"/>
          <w:color w:val="auto"/>
          <w:spacing w:val="-6"/>
          <w:sz w:val="30"/>
          <w:szCs w:val="30"/>
          <w:lang w:val="en-US" w:eastAsia="zh-CN"/>
        </w:rPr>
      </w:pPr>
    </w:p>
    <w:p>
      <w:pPr>
        <w:spacing w:line="540" w:lineRule="exact"/>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spacing w:line="540" w:lineRule="exact"/>
        <w:rPr>
          <w:rFonts w:hint="default" w:ascii="Times New Roman" w:hAnsi="Times New Roman" w:eastAsia="方正仿宋_GBK" w:cs="Times New Roman"/>
          <w:color w:val="auto"/>
          <w:spacing w:val="-6"/>
          <w:sz w:val="30"/>
          <w:szCs w:val="30"/>
          <w:lang w:val="en-US" w:eastAsia="zh-CN"/>
        </w:rPr>
      </w:pPr>
    </w:p>
    <w:p>
      <w:pPr>
        <w:pStyle w:val="2"/>
        <w:spacing w:line="540" w:lineRule="exact"/>
        <w:rPr>
          <w:rFonts w:hint="default"/>
          <w:lang w:val="en-US" w:eastAsia="zh-CN"/>
        </w:rPr>
      </w:pPr>
    </w:p>
    <w:p>
      <w:pPr>
        <w:pBdr>
          <w:top w:val="single" w:color="auto" w:sz="6" w:space="1"/>
          <w:bottom w:val="single" w:color="auto" w:sz="6" w:space="0"/>
        </w:pBdr>
        <w:spacing w:line="540" w:lineRule="exact"/>
        <w:ind w:firstLine="0" w:firstLineChars="0"/>
        <w:rPr>
          <w:rFonts w:hint="default" w:ascii="Mongolian Baiti" w:hAnsi="Mongolian Baiti" w:eastAsia="仿宋_GB2312" w:cs="Mongolian Baiti"/>
          <w:color w:val="000000" w:themeColor="text1"/>
          <w:sz w:val="28"/>
          <w:szCs w:val="28"/>
          <w14:textFill>
            <w14:solidFill>
              <w14:schemeClr w14:val="tx1"/>
            </w14:solidFill>
          </w14:textFill>
        </w:rPr>
      </w:pPr>
      <w:r>
        <w:rPr>
          <w:rFonts w:hint="default" w:ascii="Mongolian Baiti" w:hAnsi="Mongolian Baiti" w:eastAsia="仿宋_GB2312" w:cs="Mongolian Baiti"/>
          <w:color w:val="000000" w:themeColor="text1"/>
          <w:sz w:val="28"/>
          <w:szCs w:val="28"/>
          <w14:textFill>
            <w14:solidFill>
              <w14:schemeClr w14:val="tx1"/>
            </w14:solidFill>
          </w14:textFill>
        </w:rPr>
        <w:t>区</w:t>
      </w:r>
      <w:r>
        <w:rPr>
          <w:rFonts w:hint="default" w:ascii="Mongolian Baiti" w:hAnsi="Mongolian Baiti" w:eastAsia="仿宋_GB2312" w:cs="Mongolian Baiti"/>
          <w:color w:val="000000" w:themeColor="text1"/>
          <w:sz w:val="28"/>
          <w:szCs w:val="28"/>
          <w:lang w:val="en-US" w:eastAsia="zh-CN"/>
          <w14:textFill>
            <w14:solidFill>
              <w14:schemeClr w14:val="tx1"/>
            </w14:solidFill>
          </w14:textFill>
        </w:rPr>
        <w:t>五</w:t>
      </w:r>
      <w:r>
        <w:rPr>
          <w:rFonts w:hint="default" w:ascii="Mongolian Baiti" w:hAnsi="Mongolian Baiti" w:eastAsia="仿宋_GB2312" w:cs="Mongolian Baiti"/>
          <w:color w:val="000000" w:themeColor="text1"/>
          <w:sz w:val="28"/>
          <w:szCs w:val="28"/>
          <w14:textFill>
            <w14:solidFill>
              <w14:schemeClr w14:val="tx1"/>
            </w14:solidFill>
          </w14:textFill>
        </w:rPr>
        <w:t>届人大</w:t>
      </w:r>
      <w:r>
        <w:rPr>
          <w:rFonts w:hint="default" w:ascii="Mongolian Baiti" w:hAnsi="Mongolian Baiti" w:eastAsia="仿宋_GB2312" w:cs="Mongolian Baiti"/>
          <w:color w:val="000000" w:themeColor="text1"/>
          <w:sz w:val="28"/>
          <w:szCs w:val="28"/>
          <w:lang w:val="en-US" w:eastAsia="zh-CN"/>
          <w14:textFill>
            <w14:solidFill>
              <w14:schemeClr w14:val="tx1"/>
            </w14:solidFill>
          </w14:textFill>
        </w:rPr>
        <w:t>一</w:t>
      </w:r>
      <w:r>
        <w:rPr>
          <w:rFonts w:hint="default" w:ascii="Mongolian Baiti" w:hAnsi="Mongolian Baiti" w:eastAsia="仿宋_GB2312" w:cs="Mongolian Baiti"/>
          <w:color w:val="000000" w:themeColor="text1"/>
          <w:sz w:val="28"/>
          <w:szCs w:val="28"/>
          <w14:textFill>
            <w14:solidFill>
              <w14:schemeClr w14:val="tx1"/>
            </w14:solidFill>
          </w14:textFill>
        </w:rPr>
        <w:t>次会议秘书处</w:t>
      </w:r>
      <w:r>
        <w:rPr>
          <w:rFonts w:hint="eastAsia" w:ascii="Mongolian Baiti" w:hAnsi="Mongolian Baiti" w:eastAsia="仿宋_GB2312" w:cs="Mongolian Baiti"/>
          <w:color w:val="000000" w:themeColor="text1"/>
          <w:sz w:val="28"/>
          <w:szCs w:val="28"/>
          <w:lang w:val="en-US" w:eastAsia="zh-CN"/>
          <w14:textFill>
            <w14:solidFill>
              <w14:schemeClr w14:val="tx1"/>
            </w14:solidFill>
          </w14:textFill>
        </w:rPr>
        <w:t xml:space="preserve">                     </w:t>
      </w:r>
      <w:r>
        <w:rPr>
          <w:rFonts w:hint="default" w:ascii="Mongolian Baiti" w:hAnsi="Mongolian Baiti" w:eastAsia="仿宋_GB2312" w:cs="Mongolian Baiti"/>
          <w:color w:val="000000" w:themeColor="text1"/>
          <w:sz w:val="28"/>
          <w:szCs w:val="28"/>
          <w14:textFill>
            <w14:solidFill>
              <w14:schemeClr w14:val="tx1"/>
            </w14:solidFill>
          </w14:textFill>
        </w:rPr>
        <w:t>20</w:t>
      </w:r>
      <w:r>
        <w:rPr>
          <w:rFonts w:hint="default" w:ascii="Mongolian Baiti" w:hAnsi="Mongolian Baiti" w:eastAsia="仿宋_GB2312" w:cs="Mongolian Baiti"/>
          <w:color w:val="000000" w:themeColor="text1"/>
          <w:sz w:val="28"/>
          <w:szCs w:val="28"/>
          <w:lang w:val="en-US" w:eastAsia="zh-CN"/>
          <w14:textFill>
            <w14:solidFill>
              <w14:schemeClr w14:val="tx1"/>
            </w14:solidFill>
          </w14:textFill>
        </w:rPr>
        <w:t>22</w:t>
      </w:r>
      <w:r>
        <w:rPr>
          <w:rFonts w:hint="default" w:ascii="Mongolian Baiti" w:hAnsi="Mongolian Baiti" w:eastAsia="仿宋_GB2312" w:cs="Mongolian Baiti"/>
          <w:color w:val="000000" w:themeColor="text1"/>
          <w:sz w:val="28"/>
          <w:szCs w:val="28"/>
          <w14:textFill>
            <w14:solidFill>
              <w14:schemeClr w14:val="tx1"/>
            </w14:solidFill>
          </w14:textFill>
        </w:rPr>
        <w:t>年</w:t>
      </w:r>
      <w:r>
        <w:rPr>
          <w:rFonts w:hint="default" w:ascii="Mongolian Baiti" w:hAnsi="Mongolian Baiti" w:eastAsia="仿宋_GB2312" w:cs="Mongolian Baiti"/>
          <w:color w:val="000000" w:themeColor="text1"/>
          <w:sz w:val="28"/>
          <w:szCs w:val="28"/>
          <w:lang w:val="en-US" w:eastAsia="zh-CN"/>
          <w14:textFill>
            <w14:solidFill>
              <w14:schemeClr w14:val="tx1"/>
            </w14:solidFill>
          </w14:textFill>
        </w:rPr>
        <w:t>1</w:t>
      </w:r>
      <w:r>
        <w:rPr>
          <w:rFonts w:hint="default" w:ascii="Mongolian Baiti" w:hAnsi="Mongolian Baiti" w:eastAsia="仿宋_GB2312" w:cs="Mongolian Baiti"/>
          <w:color w:val="000000" w:themeColor="text1"/>
          <w:sz w:val="28"/>
          <w:szCs w:val="28"/>
          <w14:textFill>
            <w14:solidFill>
              <w14:schemeClr w14:val="tx1"/>
            </w14:solidFill>
          </w14:textFill>
        </w:rPr>
        <w:t>月</w:t>
      </w:r>
      <w:r>
        <w:rPr>
          <w:rFonts w:hint="default" w:ascii="Mongolian Baiti" w:hAnsi="Mongolian Baiti" w:eastAsia="仿宋_GB2312" w:cs="Mongolian Baiti"/>
          <w:color w:val="000000" w:themeColor="text1"/>
          <w:sz w:val="28"/>
          <w:szCs w:val="28"/>
          <w:lang w:val="en-US" w:eastAsia="zh-CN"/>
          <w14:textFill>
            <w14:solidFill>
              <w14:schemeClr w14:val="tx1"/>
            </w14:solidFill>
          </w14:textFill>
        </w:rPr>
        <w:t>23</w:t>
      </w:r>
      <w:r>
        <w:rPr>
          <w:rFonts w:hint="default" w:ascii="Mongolian Baiti" w:hAnsi="Mongolian Baiti" w:eastAsia="仿宋_GB2312" w:cs="Mongolian Baiti"/>
          <w:color w:val="000000" w:themeColor="text1"/>
          <w:sz w:val="28"/>
          <w:szCs w:val="28"/>
          <w14:textFill>
            <w14:solidFill>
              <w14:schemeClr w14:val="tx1"/>
            </w14:solidFill>
          </w14:textFill>
        </w:rPr>
        <w:t>日印</w:t>
      </w:r>
    </w:p>
    <w:p>
      <w:pPr>
        <w:spacing w:line="540" w:lineRule="exact"/>
        <w:ind w:firstLine="6720" w:firstLineChars="2400"/>
        <w:rPr>
          <w:rFonts w:hint="default" w:ascii="Mongolian Baiti" w:hAnsi="Mongolian Baiti" w:eastAsia="仿宋_GB2312" w:cs="Mongolian Baiti"/>
          <w:color w:val="000000" w:themeColor="text1"/>
          <w:sz w:val="28"/>
          <w:szCs w:val="28"/>
          <w14:textFill>
            <w14:solidFill>
              <w14:schemeClr w14:val="tx1"/>
            </w14:solidFill>
          </w14:textFill>
        </w:rPr>
      </w:pPr>
      <w:r>
        <w:rPr>
          <w:rFonts w:hint="default" w:ascii="Mongolian Baiti" w:hAnsi="Mongolian Baiti" w:eastAsia="仿宋_GB2312" w:cs="Mongolian Baiti"/>
          <w:color w:val="000000" w:themeColor="text1"/>
          <w:sz w:val="28"/>
          <w:szCs w:val="28"/>
          <w14:textFill>
            <w14:solidFill>
              <w14:schemeClr w14:val="tx1"/>
            </w14:solidFill>
          </w14:textFill>
        </w:rPr>
        <w:t>（共印：</w:t>
      </w:r>
      <w:r>
        <w:rPr>
          <w:rFonts w:hint="default" w:ascii="Mongolian Baiti" w:hAnsi="Mongolian Baiti" w:eastAsia="仿宋_GB2312" w:cs="Mongolian Baiti"/>
          <w:color w:val="000000" w:themeColor="text1"/>
          <w:sz w:val="28"/>
          <w:szCs w:val="28"/>
          <w:lang w:val="en-US" w:eastAsia="zh-CN"/>
          <w14:textFill>
            <w14:solidFill>
              <w14:schemeClr w14:val="tx1"/>
            </w14:solidFill>
          </w14:textFill>
        </w:rPr>
        <w:t>290</w:t>
      </w:r>
      <w:r>
        <w:rPr>
          <w:rFonts w:hint="default" w:ascii="Mongolian Baiti" w:hAnsi="Mongolian Baiti" w:eastAsia="仿宋_GB2312" w:cs="Mongolian Baiti"/>
          <w:color w:val="000000" w:themeColor="text1"/>
          <w:sz w:val="28"/>
          <w:szCs w:val="28"/>
          <w14:textFill>
            <w14:solidFill>
              <w14:schemeClr w14:val="tx1"/>
            </w14:solidFill>
          </w14:textFill>
        </w:rPr>
        <w:t>份）</w:t>
      </w:r>
    </w:p>
    <w:p>
      <w:pPr>
        <w:pStyle w:val="2"/>
        <w:rPr>
          <w:rFonts w:hint="default" w:ascii="Mongolian Baiti" w:hAnsi="Mongolian Baiti" w:cs="Mongolian Baiti"/>
          <w:color w:val="000000" w:themeColor="text1"/>
          <w:sz w:val="28"/>
          <w:szCs w:val="28"/>
          <w:lang w:val="en-US" w:eastAsia="zh-CN"/>
          <w14:textFill>
            <w14:solidFill>
              <w14:schemeClr w14:val="tx1"/>
            </w14:solidFill>
          </w14:textFill>
        </w:rPr>
        <w:sectPr>
          <w:headerReference r:id="rId3" w:type="default"/>
          <w:footerReference r:id="rId4" w:type="default"/>
          <w:pgSz w:w="11906" w:h="16838"/>
          <w:pgMar w:top="1984" w:right="1417" w:bottom="1928" w:left="1531" w:header="851" w:footer="992" w:gutter="0"/>
          <w:pgBorders>
            <w:top w:val="none" w:color="auto" w:sz="0" w:space="0"/>
            <w:left w:val="none" w:color="auto" w:sz="0" w:space="0"/>
            <w:bottom w:val="none" w:color="auto" w:sz="0" w:space="0"/>
            <w:right w:val="none" w:color="auto" w:sz="0" w:space="0"/>
          </w:pgBorders>
          <w:pgNumType w:fmt="numberInDash"/>
          <w:cols w:space="0" w:num="1"/>
          <w:rtlGutter w:val="0"/>
          <w:docGrid w:type="lines" w:linePitch="327" w:charSpace="0"/>
        </w:sectPr>
      </w:pPr>
    </w:p>
    <w:tbl>
      <w:tblPr>
        <w:tblStyle w:val="18"/>
        <w:tblW w:w="136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91"/>
        <w:gridCol w:w="411"/>
        <w:gridCol w:w="3353"/>
        <w:gridCol w:w="1215"/>
        <w:gridCol w:w="146"/>
        <w:gridCol w:w="1094"/>
        <w:gridCol w:w="1065"/>
        <w:gridCol w:w="171"/>
        <w:gridCol w:w="1227"/>
        <w:gridCol w:w="801"/>
        <w:gridCol w:w="425"/>
        <w:gridCol w:w="801"/>
        <w:gridCol w:w="971"/>
        <w:gridCol w:w="253"/>
        <w:gridCol w:w="896"/>
        <w:gridCol w:w="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00" w:hRule="atLeast"/>
        </w:trPr>
        <w:tc>
          <w:tcPr>
            <w:tcW w:w="791" w:type="dxa"/>
            <w:shd w:val="clear" w:color="auto" w:fill="auto"/>
            <w:vAlign w:val="center"/>
          </w:tcPr>
          <w:p>
            <w:pPr>
              <w:pBdr>
                <w:bottom w:val="single" w:color="FFFFFF" w:sz="4" w:space="28"/>
              </w:pBdr>
              <w:spacing w:beforeLines="0" w:afterLines="0" w:line="240" w:lineRule="exact"/>
              <w:ind w:firstLine="0" w:firstLineChars="0"/>
              <w:textAlignment w:val="baseline"/>
              <w:outlineLvl w:val="9"/>
              <w:rPr>
                <w:rFonts w:ascii="Times New Roman" w:hAnsi="Times New Roman" w:eastAsia="方正小标宋_GBK" w:cs="Times New Roman"/>
                <w:i w:val="0"/>
                <w:color w:val="auto"/>
                <w:sz w:val="20"/>
                <w:szCs w:val="20"/>
                <w:u w:val="none"/>
              </w:rPr>
            </w:pPr>
            <w:r>
              <w:rPr>
                <w:rFonts w:hint="default" w:ascii="Times New Roman" w:hAnsi="Times New Roman" w:eastAsia="方正小标宋_GBK" w:cs="Times New Roman"/>
                <w:i w:val="0"/>
                <w:color w:val="auto"/>
                <w:kern w:val="0"/>
                <w:sz w:val="20"/>
                <w:szCs w:val="20"/>
                <w:u w:val="none"/>
                <w:lang w:val="en-US" w:eastAsia="zh-CN" w:bidi="ar"/>
              </w:rPr>
              <w:t>附件1</w:t>
            </w:r>
          </w:p>
        </w:tc>
        <w:tc>
          <w:tcPr>
            <w:tcW w:w="3764" w:type="dxa"/>
            <w:gridSpan w:val="2"/>
            <w:shd w:val="clear" w:color="auto" w:fill="auto"/>
            <w:vAlign w:val="center"/>
          </w:tcPr>
          <w:p>
            <w:pPr>
              <w:pBdr>
                <w:bottom w:val="single" w:color="FFFFFF" w:sz="4" w:space="28"/>
              </w:pBdr>
              <w:spacing w:beforeLines="0" w:afterLines="0" w:line="240" w:lineRule="exact"/>
              <w:ind w:firstLine="0" w:firstLineChars="0"/>
              <w:textAlignment w:val="baseline"/>
              <w:outlineLvl w:val="9"/>
              <w:rPr>
                <w:rFonts w:hint="default" w:ascii="Times New Roman" w:hAnsi="Times New Roman" w:eastAsia="宋体" w:cs="Times New Roman"/>
                <w:i w:val="0"/>
                <w:color w:val="auto"/>
                <w:sz w:val="22"/>
                <w:szCs w:val="22"/>
                <w:u w:val="none"/>
              </w:rPr>
            </w:pPr>
          </w:p>
        </w:tc>
        <w:tc>
          <w:tcPr>
            <w:tcW w:w="1215" w:type="dxa"/>
            <w:shd w:val="clear" w:color="auto" w:fill="auto"/>
            <w:vAlign w:val="center"/>
          </w:tcPr>
          <w:p>
            <w:pPr>
              <w:pBdr>
                <w:bottom w:val="single" w:color="FFFFFF" w:sz="4" w:space="28"/>
              </w:pBdr>
              <w:spacing w:beforeLines="0" w:afterLines="0" w:line="240" w:lineRule="exact"/>
              <w:ind w:firstLine="440" w:firstLineChars="200"/>
              <w:textAlignment w:val="baseline"/>
              <w:outlineLvl w:val="9"/>
              <w:rPr>
                <w:rFonts w:hint="default" w:ascii="Times New Roman" w:hAnsi="Times New Roman" w:eastAsia="宋体" w:cs="Times New Roman"/>
                <w:i w:val="0"/>
                <w:color w:val="auto"/>
                <w:sz w:val="22"/>
                <w:szCs w:val="22"/>
                <w:u w:val="none"/>
              </w:rPr>
            </w:pPr>
          </w:p>
        </w:tc>
        <w:tc>
          <w:tcPr>
            <w:tcW w:w="1240" w:type="dxa"/>
            <w:gridSpan w:val="2"/>
            <w:shd w:val="clear" w:color="auto" w:fill="auto"/>
            <w:vAlign w:val="center"/>
          </w:tcPr>
          <w:p>
            <w:pPr>
              <w:pBdr>
                <w:bottom w:val="single" w:color="FFFFFF" w:sz="4" w:space="28"/>
              </w:pBdr>
              <w:spacing w:beforeLines="0" w:afterLines="0" w:line="240" w:lineRule="exact"/>
              <w:ind w:firstLine="440" w:firstLineChars="200"/>
              <w:textAlignment w:val="baseline"/>
              <w:outlineLvl w:val="9"/>
              <w:rPr>
                <w:rFonts w:hint="default" w:ascii="Times New Roman" w:hAnsi="Times New Roman" w:eastAsia="宋体" w:cs="Times New Roman"/>
                <w:i w:val="0"/>
                <w:color w:val="auto"/>
                <w:sz w:val="22"/>
                <w:szCs w:val="22"/>
                <w:u w:val="none"/>
              </w:rPr>
            </w:pPr>
          </w:p>
        </w:tc>
        <w:tc>
          <w:tcPr>
            <w:tcW w:w="1236" w:type="dxa"/>
            <w:gridSpan w:val="2"/>
            <w:shd w:val="clear" w:color="auto" w:fill="auto"/>
            <w:vAlign w:val="center"/>
          </w:tcPr>
          <w:p>
            <w:pPr>
              <w:pBdr>
                <w:bottom w:val="single" w:color="FFFFFF" w:sz="4" w:space="28"/>
              </w:pBdr>
              <w:spacing w:beforeLines="0" w:afterLines="0" w:line="240" w:lineRule="exact"/>
              <w:ind w:firstLine="440" w:firstLineChars="200"/>
              <w:textAlignment w:val="baseline"/>
              <w:outlineLvl w:val="9"/>
              <w:rPr>
                <w:rFonts w:hint="default" w:ascii="Times New Roman" w:hAnsi="Times New Roman" w:eastAsia="宋体" w:cs="Times New Roman"/>
                <w:i w:val="0"/>
                <w:color w:val="auto"/>
                <w:sz w:val="22"/>
                <w:szCs w:val="22"/>
                <w:u w:val="none"/>
              </w:rPr>
            </w:pPr>
          </w:p>
        </w:tc>
        <w:tc>
          <w:tcPr>
            <w:tcW w:w="1227" w:type="dxa"/>
            <w:shd w:val="clear" w:color="auto" w:fill="auto"/>
            <w:vAlign w:val="center"/>
          </w:tcPr>
          <w:p>
            <w:pPr>
              <w:pBdr>
                <w:bottom w:val="single" w:color="FFFFFF" w:sz="4" w:space="28"/>
              </w:pBdr>
              <w:spacing w:beforeLines="0" w:afterLines="0" w:line="240" w:lineRule="exact"/>
              <w:ind w:firstLine="440" w:firstLineChars="200"/>
              <w:textAlignment w:val="baseline"/>
              <w:outlineLvl w:val="9"/>
              <w:rPr>
                <w:rFonts w:hint="default" w:ascii="Times New Roman" w:hAnsi="Times New Roman" w:eastAsia="宋体" w:cs="Times New Roman"/>
                <w:i w:val="0"/>
                <w:color w:val="auto"/>
                <w:sz w:val="22"/>
                <w:szCs w:val="22"/>
                <w:u w:val="none"/>
              </w:rPr>
            </w:pPr>
          </w:p>
        </w:tc>
        <w:tc>
          <w:tcPr>
            <w:tcW w:w="1226" w:type="dxa"/>
            <w:gridSpan w:val="2"/>
            <w:shd w:val="clear" w:color="auto" w:fill="auto"/>
            <w:vAlign w:val="center"/>
          </w:tcPr>
          <w:p>
            <w:pPr>
              <w:pBdr>
                <w:bottom w:val="single" w:color="FFFFFF" w:sz="4" w:space="28"/>
              </w:pBdr>
              <w:spacing w:beforeLines="0" w:afterLines="0" w:line="240" w:lineRule="exact"/>
              <w:ind w:firstLine="440" w:firstLineChars="200"/>
              <w:textAlignment w:val="baseline"/>
              <w:outlineLvl w:val="9"/>
              <w:rPr>
                <w:rFonts w:hint="default" w:ascii="Times New Roman" w:hAnsi="Times New Roman" w:eastAsia="宋体" w:cs="Times New Roman"/>
                <w:i w:val="0"/>
                <w:color w:val="auto"/>
                <w:sz w:val="22"/>
                <w:szCs w:val="22"/>
                <w:u w:val="none"/>
              </w:rPr>
            </w:pPr>
          </w:p>
        </w:tc>
        <w:tc>
          <w:tcPr>
            <w:tcW w:w="2025" w:type="dxa"/>
            <w:gridSpan w:val="3"/>
            <w:shd w:val="clear" w:color="auto" w:fill="auto"/>
            <w:vAlign w:val="center"/>
          </w:tcPr>
          <w:p>
            <w:pPr>
              <w:pBdr>
                <w:bottom w:val="single" w:color="FFFFFF" w:sz="4" w:space="28"/>
              </w:pBdr>
              <w:spacing w:beforeLines="0" w:afterLines="0" w:line="240" w:lineRule="exact"/>
              <w:ind w:firstLine="440" w:firstLineChars="200"/>
              <w:textAlignment w:val="baseline"/>
              <w:outlineLvl w:val="9"/>
              <w:rPr>
                <w:rFonts w:hint="default" w:ascii="Times New Roman" w:hAnsi="Times New Roman" w:eastAsia="宋体" w:cs="Times New Roman"/>
                <w:i w:val="0"/>
                <w:color w:val="auto"/>
                <w:sz w:val="22"/>
                <w:szCs w:val="22"/>
                <w:u w:val="none"/>
              </w:rPr>
            </w:pPr>
          </w:p>
        </w:tc>
        <w:tc>
          <w:tcPr>
            <w:tcW w:w="916" w:type="dxa"/>
            <w:gridSpan w:val="2"/>
            <w:shd w:val="clear" w:color="auto" w:fill="auto"/>
            <w:vAlign w:val="center"/>
          </w:tcPr>
          <w:p>
            <w:pPr>
              <w:pBdr>
                <w:bottom w:val="single" w:color="FFFFFF" w:sz="4" w:space="28"/>
              </w:pBdr>
              <w:spacing w:beforeLines="0" w:afterLines="0" w:line="240" w:lineRule="exact"/>
              <w:ind w:firstLine="440" w:firstLineChars="200"/>
              <w:textAlignment w:val="baseline"/>
              <w:outlineLvl w:val="9"/>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6" w:hRule="atLeast"/>
        </w:trPr>
        <w:tc>
          <w:tcPr>
            <w:tcW w:w="13640" w:type="dxa"/>
            <w:gridSpan w:val="16"/>
            <w:shd w:val="clear" w:color="auto" w:fill="auto"/>
            <w:vAlign w:val="center"/>
          </w:tcPr>
          <w:p>
            <w:pPr>
              <w:keepNext w:val="0"/>
              <w:keepLines w:val="0"/>
              <w:widowControl/>
              <w:suppressLineNumbers w:val="0"/>
              <w:jc w:val="center"/>
              <w:textAlignment w:val="center"/>
              <w:rPr>
                <w:rFonts w:hint="default" w:ascii="Times New Roman" w:hAnsi="Times New Roman" w:eastAsia="方正小标宋_GBK" w:cs="Times New Roman"/>
                <w:i w:val="0"/>
                <w:color w:val="auto"/>
                <w:sz w:val="44"/>
                <w:szCs w:val="44"/>
                <w:u w:val="none"/>
              </w:rPr>
            </w:pPr>
            <w:r>
              <w:rPr>
                <w:rFonts w:hint="default" w:ascii="Times New Roman" w:hAnsi="Times New Roman" w:eastAsia="方正小标宋_GBK" w:cs="Times New Roman"/>
                <w:i w:val="0"/>
                <w:color w:val="auto"/>
                <w:kern w:val="0"/>
                <w:sz w:val="44"/>
                <w:szCs w:val="44"/>
                <w:u w:val="none"/>
                <w:lang w:val="en-US" w:eastAsia="zh-CN" w:bidi="ar"/>
              </w:rPr>
              <w:t>临沧市临翔区2021年国民经济和社会发展计划执行情况表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7" w:hRule="atLeast"/>
        </w:trPr>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小标宋_GBK" w:cs="Times New Roman"/>
                <w:i w:val="0"/>
                <w:color w:val="auto"/>
                <w:sz w:val="24"/>
                <w:szCs w:val="24"/>
                <w:u w:val="none"/>
              </w:rPr>
            </w:pPr>
            <w:r>
              <w:rPr>
                <w:rFonts w:hint="default" w:ascii="Times New Roman" w:hAnsi="Times New Roman" w:eastAsia="方正小标宋_GBK" w:cs="Times New Roman"/>
                <w:i w:val="0"/>
                <w:color w:val="auto"/>
                <w:kern w:val="0"/>
                <w:sz w:val="24"/>
                <w:szCs w:val="24"/>
                <w:u w:val="none"/>
                <w:lang w:val="en-US" w:eastAsia="zh-CN" w:bidi="ar"/>
              </w:rPr>
              <w:t>序号</w:t>
            </w:r>
          </w:p>
        </w:tc>
        <w:tc>
          <w:tcPr>
            <w:tcW w:w="37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小标宋_GBK" w:cs="Times New Roman"/>
                <w:i w:val="0"/>
                <w:color w:val="auto"/>
                <w:sz w:val="24"/>
                <w:szCs w:val="24"/>
                <w:u w:val="none"/>
              </w:rPr>
            </w:pPr>
            <w:r>
              <w:rPr>
                <w:rFonts w:hint="default" w:ascii="Times New Roman" w:hAnsi="Times New Roman" w:eastAsia="方正小标宋_GBK" w:cs="Times New Roman"/>
                <w:i w:val="0"/>
                <w:color w:val="auto"/>
                <w:kern w:val="0"/>
                <w:sz w:val="24"/>
                <w:szCs w:val="24"/>
                <w:u w:val="none"/>
                <w:lang w:val="en-US" w:eastAsia="zh-CN" w:bidi="ar"/>
              </w:rPr>
              <w:t>目标名称</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小标宋_GBK" w:cs="Times New Roman"/>
                <w:i w:val="0"/>
                <w:color w:val="auto"/>
                <w:sz w:val="24"/>
                <w:szCs w:val="24"/>
                <w:u w:val="none"/>
              </w:rPr>
            </w:pPr>
            <w:r>
              <w:rPr>
                <w:rFonts w:hint="default" w:ascii="Times New Roman" w:hAnsi="Times New Roman" w:eastAsia="方正小标宋_GBK" w:cs="Times New Roman"/>
                <w:i w:val="0"/>
                <w:color w:val="auto"/>
                <w:kern w:val="0"/>
                <w:sz w:val="24"/>
                <w:szCs w:val="24"/>
                <w:u w:val="none"/>
                <w:lang w:val="en-US" w:eastAsia="zh-CN" w:bidi="ar"/>
              </w:rPr>
              <w:t>单位</w:t>
            </w:r>
          </w:p>
        </w:tc>
        <w:tc>
          <w:tcPr>
            <w:tcW w:w="24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小标宋_GBK" w:cs="Times New Roman"/>
                <w:i w:val="0"/>
                <w:color w:val="auto"/>
                <w:sz w:val="24"/>
                <w:szCs w:val="24"/>
                <w:u w:val="none"/>
              </w:rPr>
            </w:pPr>
            <w:r>
              <w:rPr>
                <w:rFonts w:hint="default" w:ascii="Times New Roman" w:hAnsi="Times New Roman" w:eastAsia="方正小标宋_GBK" w:cs="Times New Roman"/>
                <w:i w:val="0"/>
                <w:color w:val="auto"/>
                <w:kern w:val="0"/>
                <w:sz w:val="24"/>
                <w:szCs w:val="24"/>
                <w:u w:val="none"/>
                <w:lang w:val="en-US" w:eastAsia="zh-CN" w:bidi="ar"/>
              </w:rPr>
              <w:t>2021年</w:t>
            </w:r>
            <w:r>
              <w:rPr>
                <w:rFonts w:hint="eastAsia" w:ascii="Times New Roman" w:hAnsi="Times New Roman" w:eastAsia="方正小标宋_GBK" w:cs="Times New Roman"/>
                <w:i w:val="0"/>
                <w:color w:val="auto"/>
                <w:kern w:val="0"/>
                <w:sz w:val="24"/>
                <w:szCs w:val="24"/>
                <w:u w:val="none"/>
                <w:lang w:val="en-US" w:eastAsia="zh-CN" w:bidi="ar"/>
              </w:rPr>
              <w:t>人民代表大会</w:t>
            </w:r>
            <w:r>
              <w:rPr>
                <w:rFonts w:hint="default" w:ascii="Times New Roman" w:hAnsi="Times New Roman" w:eastAsia="方正小标宋_GBK" w:cs="Times New Roman"/>
                <w:i w:val="0"/>
                <w:color w:val="auto"/>
                <w:kern w:val="0"/>
                <w:sz w:val="24"/>
                <w:szCs w:val="24"/>
                <w:u w:val="none"/>
                <w:lang w:val="en-US" w:eastAsia="zh-CN" w:bidi="ar"/>
              </w:rPr>
              <w:t>目标</w:t>
            </w:r>
          </w:p>
        </w:tc>
        <w:tc>
          <w:tcPr>
            <w:tcW w:w="447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小标宋_GBK" w:cs="Times New Roman"/>
                <w:i w:val="0"/>
                <w:color w:val="auto"/>
                <w:sz w:val="24"/>
                <w:szCs w:val="24"/>
                <w:u w:val="none"/>
              </w:rPr>
            </w:pPr>
            <w:r>
              <w:rPr>
                <w:rFonts w:hint="default" w:ascii="Times New Roman" w:hAnsi="Times New Roman" w:eastAsia="方正小标宋_GBK" w:cs="Times New Roman"/>
                <w:i w:val="0"/>
                <w:color w:val="auto"/>
                <w:kern w:val="0"/>
                <w:sz w:val="24"/>
                <w:szCs w:val="24"/>
                <w:u w:val="none"/>
                <w:lang w:val="en-US" w:eastAsia="zh-CN" w:bidi="ar"/>
              </w:rPr>
              <w:t>2021年完成情况</w:t>
            </w:r>
          </w:p>
        </w:tc>
        <w:tc>
          <w:tcPr>
            <w:tcW w:w="9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小标宋_GBK" w:cs="Times New Roman"/>
                <w:i w:val="0"/>
                <w:color w:val="auto"/>
                <w:sz w:val="22"/>
                <w:szCs w:val="22"/>
                <w:u w:val="none"/>
              </w:rPr>
            </w:pPr>
            <w:r>
              <w:rPr>
                <w:rFonts w:hint="default" w:ascii="Times New Roman" w:hAnsi="Times New Roman" w:eastAsia="方正小标宋_GBK" w:cs="Times New Roman"/>
                <w:i w:val="0"/>
                <w:color w:val="auto"/>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7" w:hRule="atLeast"/>
        </w:trPr>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default" w:ascii="Times New Roman" w:hAnsi="Times New Roman" w:eastAsia="方正小标宋_GBK" w:cs="Times New Roman"/>
                <w:i w:val="0"/>
                <w:color w:val="auto"/>
                <w:sz w:val="24"/>
                <w:szCs w:val="24"/>
                <w:u w:val="none"/>
              </w:rPr>
            </w:pPr>
          </w:p>
        </w:tc>
        <w:tc>
          <w:tcPr>
            <w:tcW w:w="37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default" w:ascii="Times New Roman" w:hAnsi="Times New Roman" w:eastAsia="方正小标宋_GBK" w:cs="Times New Roman"/>
                <w:i w:val="0"/>
                <w:color w:val="auto"/>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default" w:ascii="Times New Roman" w:hAnsi="Times New Roman" w:eastAsia="方正小标宋_GBK" w:cs="Times New Roman"/>
                <w:i w:val="0"/>
                <w:color w:val="auto"/>
                <w:sz w:val="24"/>
                <w:szCs w:val="24"/>
                <w:u w:val="none"/>
              </w:rPr>
            </w:pP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小标宋_GBK" w:cs="Times New Roman"/>
                <w:i w:val="0"/>
                <w:color w:val="auto"/>
                <w:sz w:val="24"/>
                <w:szCs w:val="24"/>
                <w:u w:val="none"/>
              </w:rPr>
            </w:pPr>
            <w:r>
              <w:rPr>
                <w:rFonts w:hint="default" w:ascii="Times New Roman" w:hAnsi="Times New Roman" w:eastAsia="方正小标宋_GBK" w:cs="Times New Roman"/>
                <w:i w:val="0"/>
                <w:color w:val="auto"/>
                <w:kern w:val="0"/>
                <w:sz w:val="24"/>
                <w:szCs w:val="24"/>
                <w:u w:val="none"/>
                <w:lang w:val="en-US" w:eastAsia="zh-CN" w:bidi="ar"/>
              </w:rPr>
              <w:t>总量</w:t>
            </w: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小标宋_GBK" w:cs="Times New Roman"/>
                <w:i w:val="0"/>
                <w:color w:val="auto"/>
                <w:sz w:val="24"/>
                <w:szCs w:val="24"/>
                <w:u w:val="none"/>
              </w:rPr>
            </w:pPr>
            <w:r>
              <w:rPr>
                <w:rFonts w:hint="default" w:ascii="Times New Roman" w:hAnsi="Times New Roman" w:eastAsia="方正小标宋_GBK" w:cs="Times New Roman"/>
                <w:i w:val="0"/>
                <w:color w:val="auto"/>
                <w:kern w:val="0"/>
                <w:sz w:val="24"/>
                <w:szCs w:val="24"/>
                <w:u w:val="none"/>
                <w:lang w:val="en-US" w:eastAsia="zh-CN" w:bidi="ar"/>
              </w:rPr>
              <w:t>增速</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小标宋_GBK" w:cs="Times New Roman"/>
                <w:i w:val="0"/>
                <w:color w:val="auto"/>
                <w:sz w:val="24"/>
                <w:szCs w:val="24"/>
                <w:u w:val="none"/>
              </w:rPr>
            </w:pPr>
            <w:r>
              <w:rPr>
                <w:rFonts w:hint="default" w:ascii="Times New Roman" w:hAnsi="Times New Roman" w:eastAsia="方正小标宋_GBK" w:cs="Times New Roman"/>
                <w:i w:val="0"/>
                <w:color w:val="auto"/>
                <w:kern w:val="0"/>
                <w:sz w:val="24"/>
                <w:szCs w:val="24"/>
                <w:u w:val="none"/>
                <w:lang w:val="en-US" w:eastAsia="zh-CN" w:bidi="ar"/>
              </w:rPr>
              <w:t>总量</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小标宋_GBK" w:cs="Times New Roman"/>
                <w:i w:val="0"/>
                <w:color w:val="auto"/>
                <w:sz w:val="24"/>
                <w:szCs w:val="24"/>
                <w:u w:val="none"/>
              </w:rPr>
            </w:pPr>
            <w:r>
              <w:rPr>
                <w:rFonts w:hint="default" w:ascii="Times New Roman" w:hAnsi="Times New Roman" w:eastAsia="方正小标宋_GBK" w:cs="Times New Roman"/>
                <w:i w:val="0"/>
                <w:color w:val="auto"/>
                <w:kern w:val="0"/>
                <w:sz w:val="24"/>
                <w:szCs w:val="24"/>
                <w:u w:val="none"/>
                <w:lang w:val="en-US" w:eastAsia="zh-CN" w:bidi="ar"/>
              </w:rPr>
              <w:t>增速</w:t>
            </w:r>
          </w:p>
        </w:tc>
        <w:tc>
          <w:tcPr>
            <w:tcW w:w="20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方正小标宋_GBK" w:cs="Times New Roman"/>
                <w:i w:val="0"/>
                <w:color w:val="auto"/>
                <w:sz w:val="24"/>
                <w:szCs w:val="24"/>
                <w:u w:val="none"/>
              </w:rPr>
            </w:pPr>
            <w:r>
              <w:rPr>
                <w:rFonts w:hint="default" w:ascii="Times New Roman" w:hAnsi="Times New Roman" w:eastAsia="方正小标宋_GBK" w:cs="Times New Roman"/>
                <w:i w:val="0"/>
                <w:color w:val="auto"/>
                <w:kern w:val="0"/>
                <w:sz w:val="24"/>
                <w:szCs w:val="24"/>
                <w:u w:val="none"/>
                <w:lang w:val="en-US" w:eastAsia="zh-CN" w:bidi="ar"/>
              </w:rPr>
              <w:t>增速与目标对比</w:t>
            </w:r>
          </w:p>
        </w:tc>
        <w:tc>
          <w:tcPr>
            <w:tcW w:w="9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default" w:ascii="Times New Roman" w:hAnsi="Times New Roman" w:eastAsia="方正小标宋_GBK"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7"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小标宋_GBK" w:cs="Times New Roman"/>
                <w:i w:val="0"/>
                <w:color w:val="auto"/>
                <w:sz w:val="22"/>
                <w:szCs w:val="22"/>
                <w:u w:val="none"/>
              </w:rPr>
            </w:pPr>
            <w:r>
              <w:rPr>
                <w:rFonts w:hint="default" w:ascii="Times New Roman" w:hAnsi="Times New Roman" w:eastAsia="方正小标宋_GBK" w:cs="Times New Roman"/>
                <w:i w:val="0"/>
                <w:color w:val="auto"/>
                <w:kern w:val="0"/>
                <w:sz w:val="22"/>
                <w:szCs w:val="22"/>
                <w:highlight w:val="none"/>
                <w:u w:val="none"/>
                <w:lang w:val="en-US" w:eastAsia="zh-CN" w:bidi="ar"/>
              </w:rPr>
              <w:t>1</w:t>
            </w:r>
          </w:p>
        </w:tc>
        <w:tc>
          <w:tcPr>
            <w:tcW w:w="3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小标宋_GBK" w:cs="Times New Roman"/>
                <w:i w:val="0"/>
                <w:color w:val="auto"/>
                <w:sz w:val="22"/>
                <w:szCs w:val="22"/>
                <w:u w:val="none"/>
              </w:rPr>
            </w:pPr>
            <w:r>
              <w:rPr>
                <w:rFonts w:hint="eastAsia" w:ascii="Times New Roman" w:hAnsi="Times New Roman" w:eastAsia="方正小标宋_GBK" w:cs="Times New Roman"/>
                <w:i w:val="0"/>
                <w:color w:val="auto"/>
                <w:kern w:val="0"/>
                <w:sz w:val="22"/>
                <w:szCs w:val="22"/>
                <w:highlight w:val="none"/>
                <w:u w:val="none"/>
                <w:lang w:val="en-US" w:eastAsia="zh-CN" w:bidi="ar"/>
              </w:rPr>
              <w:t>地区</w:t>
            </w:r>
            <w:r>
              <w:rPr>
                <w:rFonts w:hint="default" w:ascii="Times New Roman" w:hAnsi="Times New Roman" w:eastAsia="方正小标宋_GBK" w:cs="Times New Roman"/>
                <w:i w:val="0"/>
                <w:color w:val="auto"/>
                <w:kern w:val="0"/>
                <w:sz w:val="22"/>
                <w:szCs w:val="22"/>
                <w:highlight w:val="none"/>
                <w:u w:val="none"/>
                <w:lang w:val="en-US" w:eastAsia="zh-CN" w:bidi="ar"/>
              </w:rPr>
              <w:t>生产总值</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小标宋_GBK" w:cs="Times New Roman"/>
                <w:i w:val="0"/>
                <w:color w:val="auto"/>
                <w:sz w:val="22"/>
                <w:szCs w:val="22"/>
                <w:u w:val="none"/>
              </w:rPr>
            </w:pPr>
            <w:r>
              <w:rPr>
                <w:rFonts w:hint="default" w:ascii="Times New Roman" w:hAnsi="Times New Roman" w:eastAsia="方正小标宋_GBK" w:cs="Times New Roman"/>
                <w:i w:val="0"/>
                <w:color w:val="auto"/>
                <w:kern w:val="0"/>
                <w:sz w:val="20"/>
                <w:szCs w:val="20"/>
                <w:highlight w:val="none"/>
                <w:u w:val="none"/>
                <w:lang w:val="en-US" w:eastAsia="zh-CN" w:bidi="ar"/>
              </w:rPr>
              <w:t>亿元，%</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小标宋_GBK" w:hAnsi="方正小标宋_GBK" w:eastAsia="方正小标宋_GBK" w:cs="方正小标宋_GBK"/>
                <w:i w:val="0"/>
                <w:color w:val="auto"/>
                <w:sz w:val="22"/>
                <w:szCs w:val="22"/>
                <w:u w:val="none"/>
              </w:rPr>
            </w:pPr>
            <w:r>
              <w:rPr>
                <w:rFonts w:hint="eastAsia" w:ascii="方正小标宋_GBK" w:hAnsi="方正小标宋_GBK" w:eastAsia="方正小标宋_GBK" w:cs="方正小标宋_GBK"/>
                <w:i w:val="0"/>
                <w:color w:val="auto"/>
                <w:kern w:val="0"/>
                <w:sz w:val="22"/>
                <w:szCs w:val="22"/>
                <w:highlight w:val="none"/>
                <w:u w:val="none"/>
                <w:lang w:val="en-US" w:eastAsia="zh-CN" w:bidi="ar"/>
              </w:rPr>
              <w:t>188.9</w:t>
            </w: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小标宋_GBK" w:hAnsi="方正小标宋_GBK" w:eastAsia="方正小标宋_GBK" w:cs="方正小标宋_GBK"/>
                <w:i w:val="0"/>
                <w:color w:val="auto"/>
                <w:sz w:val="22"/>
                <w:szCs w:val="22"/>
                <w:u w:val="none"/>
              </w:rPr>
            </w:pPr>
            <w:r>
              <w:rPr>
                <w:rFonts w:hint="eastAsia" w:ascii="方正小标宋_GBK" w:hAnsi="方正小标宋_GBK" w:eastAsia="方正小标宋_GBK" w:cs="方正小标宋_GBK"/>
                <w:i w:val="0"/>
                <w:color w:val="auto"/>
                <w:kern w:val="0"/>
                <w:sz w:val="22"/>
                <w:szCs w:val="22"/>
                <w:highlight w:val="none"/>
                <w:u w:val="none"/>
                <w:lang w:val="en-US" w:eastAsia="zh-CN" w:bidi="ar"/>
              </w:rPr>
              <w:t>11</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小标宋_GBK" w:hAnsi="方正小标宋_GBK" w:eastAsia="方正小标宋_GBK" w:cs="方正小标宋_GBK"/>
                <w:i w:val="0"/>
                <w:color w:val="auto"/>
                <w:sz w:val="22"/>
                <w:szCs w:val="22"/>
                <w:u w:val="none"/>
                <w:lang w:val="en-US" w:eastAsia="zh-CN"/>
              </w:rPr>
            </w:pPr>
            <w:r>
              <w:rPr>
                <w:rFonts w:hint="eastAsia" w:ascii="方正小标宋_GBK" w:hAnsi="方正小标宋_GBK" w:eastAsia="方正小标宋_GBK" w:cs="方正小标宋_GBK"/>
                <w:i w:val="0"/>
                <w:color w:val="auto"/>
                <w:sz w:val="22"/>
                <w:szCs w:val="22"/>
                <w:u w:val="none"/>
                <w:lang w:val="en-US" w:eastAsia="zh-CN"/>
              </w:rPr>
              <w:t>184.2</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小标宋_GBK" w:hAnsi="方正小标宋_GBK" w:eastAsia="方正小标宋_GBK" w:cs="方正小标宋_GBK"/>
                <w:i w:val="0"/>
                <w:color w:val="auto"/>
                <w:sz w:val="22"/>
                <w:szCs w:val="22"/>
                <w:u w:val="none"/>
                <w:lang w:val="en-US" w:eastAsia="zh-CN"/>
              </w:rPr>
            </w:pPr>
            <w:r>
              <w:rPr>
                <w:rFonts w:hint="eastAsia" w:ascii="方正小标宋_GBK" w:hAnsi="方正小标宋_GBK" w:eastAsia="方正小标宋_GBK" w:cs="方正小标宋_GBK"/>
                <w:i w:val="0"/>
                <w:color w:val="auto"/>
                <w:sz w:val="22"/>
                <w:szCs w:val="22"/>
                <w:u w:val="none"/>
                <w:lang w:val="en-US" w:eastAsia="zh-CN"/>
              </w:rPr>
              <w:t>5</w:t>
            </w:r>
          </w:p>
        </w:tc>
        <w:tc>
          <w:tcPr>
            <w:tcW w:w="20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小标宋_GBK" w:hAnsi="方正小标宋_GBK" w:eastAsia="方正小标宋_GBK" w:cs="方正小标宋_GBK"/>
                <w:i w:val="0"/>
                <w:color w:val="auto"/>
                <w:sz w:val="22"/>
                <w:szCs w:val="22"/>
                <w:u w:val="none"/>
                <w:lang w:val="en-US" w:eastAsia="zh-CN"/>
              </w:rPr>
            </w:pPr>
            <w:r>
              <w:rPr>
                <w:rFonts w:hint="eastAsia" w:ascii="方正小标宋_GBK" w:hAnsi="方正小标宋_GBK" w:eastAsia="方正小标宋_GBK" w:cs="方正小标宋_GBK"/>
                <w:i w:val="0"/>
                <w:color w:val="auto"/>
                <w:sz w:val="22"/>
                <w:szCs w:val="22"/>
                <w:u w:val="none"/>
                <w:lang w:val="en-US" w:eastAsia="zh-CN"/>
              </w:rPr>
              <w:t>-6</w:t>
            </w:r>
          </w:p>
        </w:tc>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outlineLvl w:val="9"/>
              <w:rPr>
                <w:rFonts w:hint="default" w:ascii="Times New Roman" w:hAnsi="Times New Roman" w:eastAsia="方正小标宋_GBK" w:cs="Times New Roman"/>
                <w:i w:val="0"/>
                <w:color w:val="auto"/>
                <w:sz w:val="22"/>
                <w:szCs w:val="22"/>
                <w:highlight w:val="red"/>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5"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小标宋_GBK" w:cs="Times New Roman"/>
                <w:i w:val="0"/>
                <w:color w:val="auto"/>
                <w:sz w:val="22"/>
                <w:szCs w:val="22"/>
                <w:u w:val="none"/>
              </w:rPr>
            </w:pPr>
            <w:r>
              <w:rPr>
                <w:rFonts w:hint="default" w:ascii="Times New Roman" w:hAnsi="Times New Roman" w:eastAsia="方正小标宋_GBK" w:cs="Times New Roman"/>
                <w:i w:val="0"/>
                <w:color w:val="auto"/>
                <w:kern w:val="0"/>
                <w:sz w:val="22"/>
                <w:szCs w:val="22"/>
                <w:highlight w:val="none"/>
                <w:u w:val="none"/>
                <w:lang w:val="en-US" w:eastAsia="zh-CN" w:bidi="ar"/>
              </w:rPr>
              <w:t>2</w:t>
            </w:r>
          </w:p>
        </w:tc>
        <w:tc>
          <w:tcPr>
            <w:tcW w:w="3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小标宋_GBK" w:cs="Times New Roman"/>
                <w:i w:val="0"/>
                <w:color w:val="auto"/>
                <w:sz w:val="22"/>
                <w:szCs w:val="22"/>
                <w:u w:val="none"/>
              </w:rPr>
            </w:pPr>
            <w:r>
              <w:rPr>
                <w:rFonts w:hint="default" w:ascii="Times New Roman" w:hAnsi="Times New Roman" w:eastAsia="方正小标宋_GBK" w:cs="Times New Roman"/>
                <w:i w:val="0"/>
                <w:color w:val="auto"/>
                <w:kern w:val="0"/>
                <w:sz w:val="20"/>
                <w:szCs w:val="20"/>
                <w:highlight w:val="none"/>
                <w:u w:val="none"/>
                <w:lang w:val="en-US" w:eastAsia="zh-CN" w:bidi="ar"/>
              </w:rPr>
              <w:t>固定资产投资</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小标宋_GBK" w:cs="Times New Roman"/>
                <w:i w:val="0"/>
                <w:color w:val="auto"/>
                <w:sz w:val="22"/>
                <w:szCs w:val="22"/>
                <w:u w:val="none"/>
              </w:rPr>
            </w:pPr>
            <w:r>
              <w:rPr>
                <w:rFonts w:hint="default" w:ascii="Times New Roman" w:hAnsi="Times New Roman" w:eastAsia="方正小标宋_GBK" w:cs="Times New Roman"/>
                <w:i w:val="0"/>
                <w:color w:val="auto"/>
                <w:kern w:val="0"/>
                <w:sz w:val="20"/>
                <w:szCs w:val="20"/>
                <w:highlight w:val="none"/>
                <w:u w:val="none"/>
                <w:lang w:val="en-US" w:eastAsia="zh-CN" w:bidi="ar"/>
              </w:rPr>
              <w:t>亿元，%</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小标宋_GBK" w:hAnsi="方正小标宋_GBK" w:eastAsia="方正小标宋_GBK" w:cs="方正小标宋_GBK"/>
                <w:i w:val="0"/>
                <w:color w:val="auto"/>
                <w:sz w:val="22"/>
                <w:szCs w:val="22"/>
                <w:u w:val="none"/>
              </w:rPr>
            </w:pPr>
            <w:r>
              <w:rPr>
                <w:rFonts w:hint="eastAsia" w:ascii="方正小标宋_GBK" w:hAnsi="方正小标宋_GBK" w:eastAsia="方正小标宋_GBK" w:cs="方正小标宋_GBK"/>
                <w:i w:val="0"/>
                <w:color w:val="auto"/>
                <w:kern w:val="0"/>
                <w:sz w:val="22"/>
                <w:szCs w:val="22"/>
                <w:highlight w:val="none"/>
                <w:u w:val="none"/>
                <w:lang w:val="en-US" w:eastAsia="zh-CN" w:bidi="ar"/>
              </w:rPr>
              <w:t>162.9</w:t>
            </w: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小标宋_GBK" w:hAnsi="方正小标宋_GBK" w:eastAsia="方正小标宋_GBK" w:cs="方正小标宋_GBK"/>
                <w:i w:val="0"/>
                <w:color w:val="auto"/>
                <w:sz w:val="22"/>
                <w:szCs w:val="22"/>
                <w:u w:val="none"/>
              </w:rPr>
            </w:pPr>
            <w:r>
              <w:rPr>
                <w:rFonts w:hint="eastAsia" w:ascii="方正小标宋_GBK" w:hAnsi="方正小标宋_GBK" w:eastAsia="方正小标宋_GBK" w:cs="方正小标宋_GBK"/>
                <w:i w:val="0"/>
                <w:color w:val="auto"/>
                <w:kern w:val="0"/>
                <w:sz w:val="22"/>
                <w:szCs w:val="22"/>
                <w:highlight w:val="none"/>
                <w:u w:val="none"/>
                <w:lang w:val="en-US" w:eastAsia="zh-CN" w:bidi="ar"/>
              </w:rPr>
              <w:t>17</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小标宋_GBK" w:hAnsi="方正小标宋_GBK" w:eastAsia="方正小标宋_GBK" w:cs="方正小标宋_GBK"/>
                <w:i w:val="0"/>
                <w:color w:val="auto"/>
                <w:sz w:val="22"/>
                <w:szCs w:val="22"/>
                <w:u w:val="none"/>
                <w:lang w:val="en-US" w:eastAsia="zh-CN"/>
              </w:rPr>
            </w:pPr>
            <w:r>
              <w:rPr>
                <w:rFonts w:hint="eastAsia" w:ascii="方正小标宋_GBK" w:hAnsi="方正小标宋_GBK" w:eastAsia="方正小标宋_GBK" w:cs="方正小标宋_GBK"/>
                <w:i w:val="0"/>
                <w:color w:val="auto"/>
                <w:sz w:val="22"/>
                <w:szCs w:val="22"/>
                <w:u w:val="none"/>
                <w:lang w:val="en-US" w:eastAsia="zh-CN"/>
              </w:rPr>
              <w:t>114.1</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小标宋_GBK" w:hAnsi="方正小标宋_GBK" w:eastAsia="方正小标宋_GBK" w:cs="方正小标宋_GBK"/>
                <w:i w:val="0"/>
                <w:color w:val="auto"/>
                <w:sz w:val="22"/>
                <w:szCs w:val="22"/>
                <w:u w:val="none"/>
                <w:lang w:val="en-US" w:eastAsia="zh-CN"/>
              </w:rPr>
            </w:pPr>
            <w:r>
              <w:rPr>
                <w:rFonts w:hint="eastAsia" w:ascii="方正小标宋_GBK" w:hAnsi="方正小标宋_GBK" w:eastAsia="方正小标宋_GBK" w:cs="方正小标宋_GBK"/>
                <w:i w:val="0"/>
                <w:color w:val="auto"/>
                <w:sz w:val="22"/>
                <w:szCs w:val="22"/>
                <w:u w:val="none"/>
                <w:lang w:val="en-US" w:eastAsia="zh-CN"/>
              </w:rPr>
              <w:t>-20</w:t>
            </w:r>
          </w:p>
        </w:tc>
        <w:tc>
          <w:tcPr>
            <w:tcW w:w="20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小标宋_GBK" w:hAnsi="方正小标宋_GBK" w:eastAsia="方正小标宋_GBK" w:cs="方正小标宋_GBK"/>
                <w:i w:val="0"/>
                <w:color w:val="auto"/>
                <w:sz w:val="22"/>
                <w:szCs w:val="22"/>
                <w:u w:val="none"/>
                <w:lang w:val="en-US" w:eastAsia="zh-CN"/>
              </w:rPr>
            </w:pPr>
            <w:r>
              <w:rPr>
                <w:rFonts w:hint="eastAsia" w:ascii="方正小标宋_GBK" w:hAnsi="方正小标宋_GBK" w:eastAsia="方正小标宋_GBK" w:cs="方正小标宋_GBK"/>
                <w:i w:val="0"/>
                <w:color w:val="auto"/>
                <w:sz w:val="22"/>
                <w:szCs w:val="22"/>
                <w:u w:val="none"/>
                <w:lang w:val="en-US" w:eastAsia="zh-CN"/>
              </w:rPr>
              <w:t>-37</w:t>
            </w:r>
          </w:p>
        </w:tc>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outlineLvl w:val="9"/>
              <w:rPr>
                <w:rFonts w:hint="default" w:ascii="Times New Roman" w:hAnsi="Times New Roman" w:eastAsia="方正小标宋_GBK" w:cs="Times New Roman"/>
                <w:i w:val="0"/>
                <w:color w:val="auto"/>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小标宋_GBK" w:cs="Times New Roman"/>
                <w:i w:val="0"/>
                <w:color w:val="auto"/>
                <w:sz w:val="22"/>
                <w:szCs w:val="22"/>
                <w:u w:val="none"/>
              </w:rPr>
            </w:pPr>
            <w:r>
              <w:rPr>
                <w:rFonts w:hint="default" w:ascii="Times New Roman" w:hAnsi="Times New Roman" w:eastAsia="方正小标宋_GBK" w:cs="Times New Roman"/>
                <w:i w:val="0"/>
                <w:color w:val="auto"/>
                <w:kern w:val="0"/>
                <w:sz w:val="22"/>
                <w:szCs w:val="22"/>
                <w:highlight w:val="none"/>
                <w:u w:val="none"/>
                <w:lang w:val="en-US" w:eastAsia="zh-CN" w:bidi="ar"/>
              </w:rPr>
              <w:t>3</w:t>
            </w:r>
          </w:p>
        </w:tc>
        <w:tc>
          <w:tcPr>
            <w:tcW w:w="3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小标宋_GBK" w:cs="Times New Roman"/>
                <w:i w:val="0"/>
                <w:color w:val="auto"/>
                <w:sz w:val="22"/>
                <w:szCs w:val="22"/>
                <w:u w:val="none"/>
              </w:rPr>
            </w:pPr>
            <w:r>
              <w:rPr>
                <w:rFonts w:hint="default" w:ascii="Times New Roman" w:hAnsi="Times New Roman" w:eastAsia="方正小标宋_GBK" w:cs="Times New Roman"/>
                <w:i w:val="0"/>
                <w:color w:val="auto"/>
                <w:kern w:val="0"/>
                <w:sz w:val="20"/>
                <w:szCs w:val="20"/>
                <w:highlight w:val="none"/>
                <w:u w:val="none"/>
                <w:lang w:val="en-US" w:eastAsia="zh-CN" w:bidi="ar"/>
              </w:rPr>
              <w:t>规上工业可比价增加值</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小标宋_GBK" w:cs="Times New Roman"/>
                <w:i w:val="0"/>
                <w:color w:val="auto"/>
                <w:sz w:val="22"/>
                <w:szCs w:val="22"/>
                <w:u w:val="none"/>
              </w:rPr>
            </w:pPr>
            <w:r>
              <w:rPr>
                <w:rFonts w:hint="default" w:ascii="Times New Roman" w:hAnsi="Times New Roman" w:eastAsia="方正小标宋_GBK" w:cs="Times New Roman"/>
                <w:i w:val="0"/>
                <w:color w:val="auto"/>
                <w:kern w:val="0"/>
                <w:sz w:val="22"/>
                <w:szCs w:val="22"/>
                <w:highlight w:val="none"/>
                <w:u w:val="none"/>
                <w:lang w:val="en-US" w:eastAsia="zh-CN" w:bidi="ar"/>
              </w:rPr>
              <w:t>%</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小标宋_GBK" w:hAnsi="方正小标宋_GBK" w:eastAsia="方正小标宋_GBK" w:cs="方正小标宋_GBK"/>
                <w:i w:val="0"/>
                <w:color w:val="auto"/>
                <w:sz w:val="22"/>
                <w:szCs w:val="22"/>
                <w:u w:val="none"/>
              </w:rPr>
            </w:pPr>
            <w:r>
              <w:rPr>
                <w:rFonts w:hint="eastAsia" w:ascii="方正小标宋_GBK" w:hAnsi="方正小标宋_GBK" w:eastAsia="方正小标宋_GBK" w:cs="方正小标宋_GBK"/>
                <w:i w:val="0"/>
                <w:color w:val="auto"/>
                <w:kern w:val="0"/>
                <w:sz w:val="22"/>
                <w:szCs w:val="22"/>
                <w:highlight w:val="none"/>
                <w:u w:val="none"/>
                <w:lang w:val="en-US" w:eastAsia="zh-CN" w:bidi="ar"/>
              </w:rPr>
              <w:t>－</w:t>
            </w: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小标宋_GBK" w:hAnsi="方正小标宋_GBK" w:eastAsia="方正小标宋_GBK" w:cs="方正小标宋_GBK"/>
                <w:i w:val="0"/>
                <w:color w:val="auto"/>
                <w:sz w:val="22"/>
                <w:szCs w:val="22"/>
                <w:u w:val="none"/>
              </w:rPr>
            </w:pPr>
            <w:r>
              <w:rPr>
                <w:rFonts w:hint="eastAsia" w:ascii="方正小标宋_GBK" w:hAnsi="方正小标宋_GBK" w:eastAsia="方正小标宋_GBK" w:cs="方正小标宋_GBK"/>
                <w:i w:val="0"/>
                <w:color w:val="auto"/>
                <w:kern w:val="0"/>
                <w:sz w:val="22"/>
                <w:szCs w:val="22"/>
                <w:highlight w:val="none"/>
                <w:u w:val="none"/>
                <w:lang w:val="en-US" w:eastAsia="zh-CN" w:bidi="ar"/>
              </w:rPr>
              <w:t>19</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outlineLvl w:val="9"/>
              <w:rPr>
                <w:rFonts w:hint="eastAsia" w:ascii="方正小标宋_GBK" w:hAnsi="方正小标宋_GBK" w:eastAsia="方正小标宋_GBK" w:cs="方正小标宋_GBK"/>
                <w:i w:val="0"/>
                <w:color w:val="auto"/>
                <w:sz w:val="22"/>
                <w:szCs w:val="22"/>
                <w:u w:val="none"/>
                <w:lang w:val="en-US" w:eastAsia="zh-CN"/>
              </w:rPr>
            </w:pPr>
            <w:r>
              <w:rPr>
                <w:rFonts w:hint="eastAsia" w:ascii="方正小标宋_GBK" w:hAnsi="方正小标宋_GBK" w:eastAsia="方正小标宋_GBK" w:cs="方正小标宋_GBK"/>
                <w:i w:val="0"/>
                <w:color w:val="auto"/>
                <w:sz w:val="22"/>
                <w:szCs w:val="22"/>
                <w:u w:val="none"/>
                <w:lang w:val="en-US" w:eastAsia="zh-CN"/>
              </w:rPr>
              <w:t>-</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小标宋_GBK" w:hAnsi="方正小标宋_GBK" w:eastAsia="方正小标宋_GBK" w:cs="方正小标宋_GBK"/>
                <w:i w:val="0"/>
                <w:color w:val="auto"/>
                <w:sz w:val="22"/>
                <w:szCs w:val="22"/>
                <w:u w:val="none"/>
                <w:lang w:val="en-US" w:eastAsia="zh-CN"/>
              </w:rPr>
            </w:pPr>
            <w:r>
              <w:rPr>
                <w:rFonts w:hint="eastAsia" w:ascii="方正小标宋_GBK" w:hAnsi="方正小标宋_GBK" w:eastAsia="方正小标宋_GBK" w:cs="方正小标宋_GBK"/>
                <w:i w:val="0"/>
                <w:color w:val="auto"/>
                <w:sz w:val="22"/>
                <w:szCs w:val="22"/>
                <w:u w:val="none"/>
                <w:lang w:val="en-US" w:eastAsia="zh-CN"/>
              </w:rPr>
              <w:t>8.7</w:t>
            </w:r>
          </w:p>
        </w:tc>
        <w:tc>
          <w:tcPr>
            <w:tcW w:w="20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小标宋_GBK" w:hAnsi="方正小标宋_GBK" w:eastAsia="方正小标宋_GBK" w:cs="方正小标宋_GBK"/>
                <w:i w:val="0"/>
                <w:color w:val="auto"/>
                <w:sz w:val="22"/>
                <w:szCs w:val="22"/>
                <w:u w:val="none"/>
                <w:lang w:val="en-US" w:eastAsia="zh-CN"/>
              </w:rPr>
            </w:pPr>
            <w:r>
              <w:rPr>
                <w:rFonts w:hint="eastAsia" w:ascii="方正小标宋_GBK" w:hAnsi="方正小标宋_GBK" w:eastAsia="方正小标宋_GBK" w:cs="方正小标宋_GBK"/>
                <w:i w:val="0"/>
                <w:color w:val="auto"/>
                <w:sz w:val="22"/>
                <w:szCs w:val="22"/>
                <w:u w:val="none"/>
                <w:lang w:val="en-US" w:eastAsia="zh-CN"/>
              </w:rPr>
              <w:t>-10.3</w:t>
            </w:r>
          </w:p>
        </w:tc>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outlineLvl w:val="9"/>
              <w:rPr>
                <w:rFonts w:hint="default" w:ascii="Times New Roman" w:hAnsi="Times New Roman" w:eastAsia="方正小标宋_GBK" w:cs="Times New Roman"/>
                <w:i w:val="0"/>
                <w:color w:val="auto"/>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小标宋_GBK" w:cs="Times New Roman"/>
                <w:i w:val="0"/>
                <w:color w:val="auto"/>
                <w:sz w:val="22"/>
                <w:szCs w:val="22"/>
                <w:u w:val="none"/>
              </w:rPr>
            </w:pPr>
            <w:r>
              <w:rPr>
                <w:rFonts w:hint="default" w:ascii="Times New Roman" w:hAnsi="Times New Roman" w:eastAsia="方正小标宋_GBK" w:cs="Times New Roman"/>
                <w:i w:val="0"/>
                <w:color w:val="auto"/>
                <w:kern w:val="0"/>
                <w:sz w:val="22"/>
                <w:szCs w:val="22"/>
                <w:highlight w:val="none"/>
                <w:u w:val="none"/>
                <w:lang w:val="en-US" w:eastAsia="zh-CN" w:bidi="ar"/>
              </w:rPr>
              <w:t>4</w:t>
            </w:r>
          </w:p>
        </w:tc>
        <w:tc>
          <w:tcPr>
            <w:tcW w:w="3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小标宋_GBK" w:cs="Times New Roman"/>
                <w:i w:val="0"/>
                <w:color w:val="auto"/>
                <w:sz w:val="22"/>
                <w:szCs w:val="22"/>
                <w:u w:val="none"/>
              </w:rPr>
            </w:pPr>
            <w:r>
              <w:rPr>
                <w:rFonts w:hint="default" w:ascii="Times New Roman" w:hAnsi="Times New Roman" w:eastAsia="方正小标宋_GBK" w:cs="Times New Roman"/>
                <w:i w:val="0"/>
                <w:color w:val="auto"/>
                <w:kern w:val="0"/>
                <w:sz w:val="20"/>
                <w:szCs w:val="20"/>
                <w:highlight w:val="none"/>
                <w:u w:val="none"/>
                <w:lang w:val="en-US" w:eastAsia="zh-CN" w:bidi="ar"/>
              </w:rPr>
              <w:t>一般公共财政预算收入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小标宋_GBK" w:cs="Times New Roman"/>
                <w:i w:val="0"/>
                <w:color w:val="auto"/>
                <w:sz w:val="22"/>
                <w:szCs w:val="22"/>
                <w:u w:val="none"/>
              </w:rPr>
            </w:pPr>
            <w:r>
              <w:rPr>
                <w:rFonts w:hint="default" w:ascii="Times New Roman" w:hAnsi="Times New Roman" w:eastAsia="方正小标宋_GBK" w:cs="Times New Roman"/>
                <w:i w:val="0"/>
                <w:color w:val="auto"/>
                <w:kern w:val="0"/>
                <w:sz w:val="20"/>
                <w:szCs w:val="20"/>
                <w:highlight w:val="none"/>
                <w:u w:val="none"/>
                <w:lang w:val="en-US" w:eastAsia="zh-CN" w:bidi="ar"/>
              </w:rPr>
              <w:t>亿元，%</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小标宋_GBK" w:hAnsi="方正小标宋_GBK" w:eastAsia="方正小标宋_GBK" w:cs="方正小标宋_GBK"/>
                <w:i w:val="0"/>
                <w:color w:val="auto"/>
                <w:sz w:val="22"/>
                <w:szCs w:val="22"/>
                <w:highlight w:val="none"/>
                <w:u w:val="none"/>
              </w:rPr>
            </w:pPr>
            <w:r>
              <w:rPr>
                <w:rFonts w:hint="eastAsia" w:ascii="方正小标宋_GBK" w:hAnsi="方正小标宋_GBK" w:eastAsia="方正小标宋_GBK" w:cs="方正小标宋_GBK"/>
                <w:i w:val="0"/>
                <w:color w:val="auto"/>
                <w:kern w:val="0"/>
                <w:sz w:val="22"/>
                <w:szCs w:val="22"/>
                <w:highlight w:val="none"/>
                <w:u w:val="none"/>
                <w:lang w:val="en-US" w:eastAsia="zh-CN" w:bidi="ar"/>
              </w:rPr>
              <w:t>9.19</w:t>
            </w: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小标宋_GBK" w:hAnsi="方正小标宋_GBK" w:eastAsia="方正小标宋_GBK" w:cs="方正小标宋_GBK"/>
                <w:i w:val="0"/>
                <w:color w:val="auto"/>
                <w:sz w:val="22"/>
                <w:szCs w:val="22"/>
                <w:u w:val="none"/>
              </w:rPr>
            </w:pPr>
            <w:r>
              <w:rPr>
                <w:rFonts w:hint="eastAsia" w:ascii="方正小标宋_GBK" w:hAnsi="方正小标宋_GBK" w:eastAsia="方正小标宋_GBK" w:cs="方正小标宋_GBK"/>
                <w:i w:val="0"/>
                <w:color w:val="auto"/>
                <w:kern w:val="0"/>
                <w:sz w:val="22"/>
                <w:szCs w:val="22"/>
                <w:highlight w:val="none"/>
                <w:u w:val="none"/>
                <w:lang w:val="en-US" w:eastAsia="zh-CN" w:bidi="ar"/>
              </w:rPr>
              <w:t>3.5</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小标宋_GBK" w:hAnsi="方正小标宋_GBK" w:eastAsia="方正小标宋_GBK" w:cs="方正小标宋_GBK"/>
                <w:i w:val="0"/>
                <w:color w:val="auto"/>
                <w:sz w:val="22"/>
                <w:szCs w:val="22"/>
                <w:u w:val="none"/>
                <w:lang w:val="en-US" w:eastAsia="zh-CN"/>
              </w:rPr>
            </w:pPr>
            <w:r>
              <w:rPr>
                <w:rFonts w:hint="eastAsia" w:ascii="方正小标宋_GBK" w:hAnsi="方正小标宋_GBK" w:eastAsia="方正小标宋_GBK" w:cs="方正小标宋_GBK"/>
                <w:i w:val="0"/>
                <w:color w:val="auto"/>
                <w:sz w:val="22"/>
                <w:szCs w:val="22"/>
                <w:u w:val="none"/>
                <w:lang w:val="en-US" w:eastAsia="zh-CN"/>
              </w:rPr>
              <w:t>9.22</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小标宋_GBK" w:hAnsi="方正小标宋_GBK" w:eastAsia="方正小标宋_GBK" w:cs="方正小标宋_GBK"/>
                <w:i w:val="0"/>
                <w:color w:val="auto"/>
                <w:sz w:val="22"/>
                <w:szCs w:val="22"/>
                <w:u w:val="none"/>
                <w:lang w:val="en-US" w:eastAsia="zh-CN"/>
              </w:rPr>
            </w:pPr>
            <w:r>
              <w:rPr>
                <w:rFonts w:hint="eastAsia" w:ascii="方正小标宋_GBK" w:hAnsi="方正小标宋_GBK" w:eastAsia="方正小标宋_GBK" w:cs="方正小标宋_GBK"/>
                <w:i w:val="0"/>
                <w:color w:val="auto"/>
                <w:sz w:val="22"/>
                <w:szCs w:val="22"/>
                <w:u w:val="none"/>
                <w:lang w:val="en-US" w:eastAsia="zh-CN"/>
              </w:rPr>
              <w:t>3.7</w:t>
            </w:r>
          </w:p>
        </w:tc>
        <w:tc>
          <w:tcPr>
            <w:tcW w:w="20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小标宋_GBK" w:hAnsi="方正小标宋_GBK" w:eastAsia="方正小标宋_GBK" w:cs="方正小标宋_GBK"/>
                <w:i w:val="0"/>
                <w:color w:val="auto"/>
                <w:sz w:val="22"/>
                <w:szCs w:val="22"/>
                <w:u w:val="none"/>
                <w:lang w:val="en-US" w:eastAsia="zh-CN"/>
              </w:rPr>
            </w:pPr>
            <w:r>
              <w:rPr>
                <w:rFonts w:hint="eastAsia" w:ascii="方正小标宋_GBK" w:hAnsi="方正小标宋_GBK" w:eastAsia="方正小标宋_GBK" w:cs="方正小标宋_GBK"/>
                <w:i w:val="0"/>
                <w:color w:val="auto"/>
                <w:sz w:val="22"/>
                <w:szCs w:val="22"/>
                <w:u w:val="none"/>
                <w:lang w:val="en-US" w:eastAsia="zh-CN"/>
              </w:rPr>
              <w:t>0.2</w:t>
            </w:r>
          </w:p>
        </w:tc>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outlineLvl w:val="9"/>
              <w:rPr>
                <w:rFonts w:hint="default" w:ascii="Times New Roman" w:hAnsi="Times New Roman" w:eastAsia="方正小标宋_GBK"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2"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小标宋_GBK" w:cs="Times New Roman"/>
                <w:i w:val="0"/>
                <w:color w:val="auto"/>
                <w:sz w:val="22"/>
                <w:szCs w:val="22"/>
                <w:u w:val="none"/>
              </w:rPr>
            </w:pPr>
            <w:r>
              <w:rPr>
                <w:rFonts w:hint="default" w:ascii="Times New Roman" w:hAnsi="Times New Roman" w:eastAsia="方正小标宋_GBK" w:cs="Times New Roman"/>
                <w:i w:val="0"/>
                <w:color w:val="auto"/>
                <w:kern w:val="0"/>
                <w:sz w:val="22"/>
                <w:szCs w:val="22"/>
                <w:highlight w:val="none"/>
                <w:u w:val="none"/>
                <w:lang w:val="en-US" w:eastAsia="zh-CN" w:bidi="ar"/>
              </w:rPr>
              <w:t>5</w:t>
            </w:r>
          </w:p>
        </w:tc>
        <w:tc>
          <w:tcPr>
            <w:tcW w:w="3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小标宋_GBK" w:cs="Times New Roman"/>
                <w:i w:val="0"/>
                <w:color w:val="auto"/>
                <w:sz w:val="22"/>
                <w:szCs w:val="22"/>
                <w:u w:val="none"/>
              </w:rPr>
            </w:pPr>
            <w:r>
              <w:rPr>
                <w:rFonts w:hint="default" w:ascii="Times New Roman" w:hAnsi="Times New Roman" w:eastAsia="方正小标宋_GBK" w:cs="Times New Roman"/>
                <w:i w:val="0"/>
                <w:color w:val="auto"/>
                <w:kern w:val="0"/>
                <w:sz w:val="20"/>
                <w:szCs w:val="20"/>
                <w:highlight w:val="none"/>
                <w:u w:val="none"/>
                <w:lang w:val="en-US" w:eastAsia="zh-CN" w:bidi="ar"/>
              </w:rPr>
              <w:t>一般公共财政预算支出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小标宋_GBK" w:cs="Times New Roman"/>
                <w:i w:val="0"/>
                <w:color w:val="auto"/>
                <w:sz w:val="22"/>
                <w:szCs w:val="22"/>
                <w:u w:val="none"/>
              </w:rPr>
            </w:pPr>
            <w:r>
              <w:rPr>
                <w:rFonts w:hint="default" w:ascii="Times New Roman" w:hAnsi="Times New Roman" w:eastAsia="方正小标宋_GBK" w:cs="Times New Roman"/>
                <w:i w:val="0"/>
                <w:color w:val="auto"/>
                <w:kern w:val="0"/>
                <w:sz w:val="20"/>
                <w:szCs w:val="20"/>
                <w:highlight w:val="none"/>
                <w:u w:val="none"/>
                <w:lang w:val="en-US" w:eastAsia="zh-CN" w:bidi="ar"/>
              </w:rPr>
              <w:t>亿元，%</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小标宋_GBK" w:hAnsi="方正小标宋_GBK" w:eastAsia="方正小标宋_GBK" w:cs="方正小标宋_GBK"/>
                <w:i w:val="0"/>
                <w:color w:val="auto"/>
                <w:sz w:val="22"/>
                <w:szCs w:val="22"/>
                <w:highlight w:val="none"/>
                <w:u w:val="none"/>
              </w:rPr>
            </w:pPr>
            <w:r>
              <w:rPr>
                <w:rFonts w:hint="eastAsia" w:ascii="方正小标宋_GBK" w:hAnsi="方正小标宋_GBK" w:eastAsia="方正小标宋_GBK" w:cs="方正小标宋_GBK"/>
                <w:i w:val="0"/>
                <w:color w:val="auto"/>
                <w:kern w:val="0"/>
                <w:sz w:val="22"/>
                <w:szCs w:val="22"/>
                <w:highlight w:val="none"/>
                <w:u w:val="none"/>
                <w:lang w:val="en-US" w:eastAsia="zh-CN" w:bidi="ar"/>
              </w:rPr>
              <w:t>37.3</w:t>
            </w: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小标宋_GBK" w:hAnsi="方正小标宋_GBK" w:eastAsia="方正小标宋_GBK" w:cs="方正小标宋_GBK"/>
                <w:i w:val="0"/>
                <w:color w:val="auto"/>
                <w:sz w:val="22"/>
                <w:szCs w:val="22"/>
                <w:u w:val="none"/>
              </w:rPr>
            </w:pPr>
            <w:r>
              <w:rPr>
                <w:rFonts w:hint="eastAsia" w:ascii="方正小标宋_GBK" w:hAnsi="方正小标宋_GBK" w:eastAsia="方正小标宋_GBK" w:cs="方正小标宋_GBK"/>
                <w:i w:val="0"/>
                <w:color w:val="auto"/>
                <w:kern w:val="0"/>
                <w:sz w:val="22"/>
                <w:szCs w:val="22"/>
                <w:highlight w:val="none"/>
                <w:u w:val="none"/>
                <w:lang w:val="en-US" w:eastAsia="zh-CN" w:bidi="ar"/>
              </w:rPr>
              <w:t>3</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小标宋_GBK" w:hAnsi="方正小标宋_GBK" w:eastAsia="方正小标宋_GBK" w:cs="方正小标宋_GBK"/>
                <w:i w:val="0"/>
                <w:color w:val="auto"/>
                <w:sz w:val="22"/>
                <w:szCs w:val="22"/>
                <w:u w:val="none"/>
                <w:lang w:val="en-US" w:eastAsia="zh-CN"/>
              </w:rPr>
            </w:pPr>
            <w:r>
              <w:rPr>
                <w:rFonts w:hint="eastAsia" w:ascii="方正小标宋_GBK" w:hAnsi="方正小标宋_GBK" w:eastAsia="方正小标宋_GBK" w:cs="方正小标宋_GBK"/>
                <w:i w:val="0"/>
                <w:color w:val="auto"/>
                <w:sz w:val="22"/>
                <w:szCs w:val="22"/>
                <w:u w:val="none"/>
                <w:lang w:val="en-US" w:eastAsia="zh-CN"/>
              </w:rPr>
              <w:t>27.93</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小标宋_GBK" w:hAnsi="方正小标宋_GBK" w:eastAsia="方正小标宋_GBK" w:cs="方正小标宋_GBK"/>
                <w:i w:val="0"/>
                <w:color w:val="auto"/>
                <w:sz w:val="22"/>
                <w:szCs w:val="22"/>
                <w:u w:val="none"/>
                <w:lang w:val="en-US" w:eastAsia="zh-CN"/>
              </w:rPr>
            </w:pPr>
            <w:r>
              <w:rPr>
                <w:rFonts w:hint="eastAsia" w:ascii="方正小标宋_GBK" w:hAnsi="方正小标宋_GBK" w:eastAsia="方正小标宋_GBK" w:cs="方正小标宋_GBK"/>
                <w:i w:val="0"/>
                <w:color w:val="auto"/>
                <w:sz w:val="22"/>
                <w:szCs w:val="22"/>
                <w:u w:val="none"/>
                <w:lang w:val="en-US" w:eastAsia="zh-CN"/>
              </w:rPr>
              <w:t>-23</w:t>
            </w:r>
          </w:p>
        </w:tc>
        <w:tc>
          <w:tcPr>
            <w:tcW w:w="20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小标宋_GBK" w:hAnsi="方正小标宋_GBK" w:eastAsia="方正小标宋_GBK" w:cs="方正小标宋_GBK"/>
                <w:i w:val="0"/>
                <w:color w:val="auto"/>
                <w:sz w:val="22"/>
                <w:szCs w:val="22"/>
                <w:u w:val="none"/>
              </w:rPr>
            </w:pPr>
            <w:r>
              <w:rPr>
                <w:rFonts w:hint="eastAsia" w:ascii="方正小标宋_GBK" w:hAnsi="方正小标宋_GBK" w:eastAsia="方正小标宋_GBK" w:cs="方正小标宋_GBK"/>
                <w:i w:val="0"/>
                <w:color w:val="auto"/>
                <w:sz w:val="22"/>
                <w:szCs w:val="22"/>
                <w:u w:val="none"/>
                <w:lang w:val="en-US" w:eastAsia="zh-CN"/>
              </w:rPr>
              <w:t>-26</w:t>
            </w:r>
          </w:p>
        </w:tc>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outlineLvl w:val="9"/>
              <w:rPr>
                <w:rFonts w:hint="default" w:ascii="Times New Roman" w:hAnsi="Times New Roman" w:eastAsia="方正小标宋_GBK"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7"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小标宋_GBK" w:cs="Times New Roman"/>
                <w:i w:val="0"/>
                <w:color w:val="auto"/>
                <w:sz w:val="22"/>
                <w:szCs w:val="22"/>
                <w:u w:val="none"/>
              </w:rPr>
            </w:pPr>
            <w:r>
              <w:rPr>
                <w:rFonts w:hint="default" w:ascii="Times New Roman" w:hAnsi="Times New Roman" w:eastAsia="方正小标宋_GBK" w:cs="Times New Roman"/>
                <w:i w:val="0"/>
                <w:color w:val="auto"/>
                <w:kern w:val="0"/>
                <w:sz w:val="22"/>
                <w:szCs w:val="22"/>
                <w:highlight w:val="none"/>
                <w:u w:val="none"/>
                <w:lang w:val="en-US" w:eastAsia="zh-CN" w:bidi="ar"/>
              </w:rPr>
              <w:t>6</w:t>
            </w:r>
          </w:p>
        </w:tc>
        <w:tc>
          <w:tcPr>
            <w:tcW w:w="3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小标宋_GBK" w:cs="Times New Roman"/>
                <w:i w:val="0"/>
                <w:color w:val="auto"/>
                <w:sz w:val="22"/>
                <w:szCs w:val="22"/>
                <w:u w:val="none"/>
              </w:rPr>
            </w:pPr>
            <w:r>
              <w:rPr>
                <w:rFonts w:hint="default" w:ascii="Times New Roman" w:hAnsi="Times New Roman" w:eastAsia="方正小标宋_GBK" w:cs="Times New Roman"/>
                <w:i w:val="0"/>
                <w:color w:val="auto"/>
                <w:kern w:val="0"/>
                <w:sz w:val="20"/>
                <w:szCs w:val="20"/>
                <w:highlight w:val="none"/>
                <w:u w:val="none"/>
                <w:lang w:val="en-US" w:eastAsia="zh-CN" w:bidi="ar"/>
              </w:rPr>
              <w:t>社会消费品零售总额</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小标宋_GBK" w:cs="Times New Roman"/>
                <w:i w:val="0"/>
                <w:color w:val="auto"/>
                <w:sz w:val="22"/>
                <w:szCs w:val="22"/>
                <w:u w:val="none"/>
              </w:rPr>
            </w:pPr>
            <w:r>
              <w:rPr>
                <w:rFonts w:hint="default" w:ascii="Times New Roman" w:hAnsi="Times New Roman" w:eastAsia="方正小标宋_GBK" w:cs="Times New Roman"/>
                <w:i w:val="0"/>
                <w:color w:val="auto"/>
                <w:kern w:val="0"/>
                <w:sz w:val="20"/>
                <w:szCs w:val="20"/>
                <w:highlight w:val="none"/>
                <w:u w:val="none"/>
                <w:lang w:val="en-US" w:eastAsia="zh-CN" w:bidi="ar"/>
              </w:rPr>
              <w:t>亿元，%</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小标宋_GBK" w:hAnsi="方正小标宋_GBK" w:eastAsia="方正小标宋_GBK" w:cs="方正小标宋_GBK"/>
                <w:i w:val="0"/>
                <w:color w:val="auto"/>
                <w:sz w:val="22"/>
                <w:szCs w:val="22"/>
                <w:highlight w:val="none"/>
                <w:u w:val="none"/>
              </w:rPr>
            </w:pPr>
            <w:r>
              <w:rPr>
                <w:rFonts w:hint="eastAsia" w:ascii="方正小标宋_GBK" w:hAnsi="方正小标宋_GBK" w:eastAsia="方正小标宋_GBK" w:cs="方正小标宋_GBK"/>
                <w:i w:val="0"/>
                <w:color w:val="auto"/>
                <w:kern w:val="0"/>
                <w:sz w:val="22"/>
                <w:szCs w:val="22"/>
                <w:highlight w:val="none"/>
                <w:u w:val="none"/>
                <w:lang w:val="en-US" w:eastAsia="zh-CN" w:bidi="ar"/>
              </w:rPr>
              <w:t>105.34</w:t>
            </w: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小标宋_GBK" w:hAnsi="方正小标宋_GBK" w:eastAsia="方正小标宋_GBK" w:cs="方正小标宋_GBK"/>
                <w:i w:val="0"/>
                <w:color w:val="auto"/>
                <w:sz w:val="22"/>
                <w:szCs w:val="22"/>
                <w:u w:val="none"/>
              </w:rPr>
            </w:pPr>
            <w:r>
              <w:rPr>
                <w:rFonts w:hint="eastAsia" w:ascii="方正小标宋_GBK" w:hAnsi="方正小标宋_GBK" w:eastAsia="方正小标宋_GBK" w:cs="方正小标宋_GBK"/>
                <w:i w:val="0"/>
                <w:color w:val="auto"/>
                <w:kern w:val="0"/>
                <w:sz w:val="22"/>
                <w:szCs w:val="22"/>
                <w:highlight w:val="none"/>
                <w:u w:val="none"/>
                <w:lang w:val="en-US" w:eastAsia="zh-CN" w:bidi="ar"/>
              </w:rPr>
              <w:t>12</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小标宋_GBK" w:hAnsi="方正小标宋_GBK" w:eastAsia="方正小标宋_GBK" w:cs="方正小标宋_GBK"/>
                <w:i w:val="0"/>
                <w:color w:val="auto"/>
                <w:sz w:val="22"/>
                <w:szCs w:val="22"/>
                <w:u w:val="none"/>
                <w:lang w:val="en-US" w:eastAsia="zh-CN"/>
              </w:rPr>
            </w:pPr>
            <w:r>
              <w:rPr>
                <w:rFonts w:hint="eastAsia" w:ascii="方正小标宋_GBK" w:hAnsi="方正小标宋_GBK" w:eastAsia="方正小标宋_GBK" w:cs="方正小标宋_GBK"/>
                <w:i w:val="0"/>
                <w:color w:val="auto"/>
                <w:sz w:val="22"/>
                <w:szCs w:val="22"/>
                <w:u w:val="none"/>
                <w:lang w:val="en-US" w:eastAsia="zh-CN"/>
              </w:rPr>
              <w:t>108.6</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小标宋_GBK" w:hAnsi="方正小标宋_GBK" w:eastAsia="方正小标宋_GBK" w:cs="方正小标宋_GBK"/>
                <w:i w:val="0"/>
                <w:color w:val="auto"/>
                <w:sz w:val="22"/>
                <w:szCs w:val="22"/>
                <w:u w:val="none"/>
                <w:lang w:val="en-US" w:eastAsia="zh-CN"/>
              </w:rPr>
            </w:pPr>
            <w:r>
              <w:rPr>
                <w:rFonts w:hint="eastAsia" w:ascii="方正小标宋_GBK" w:hAnsi="方正小标宋_GBK" w:eastAsia="方正小标宋_GBK" w:cs="方正小标宋_GBK"/>
                <w:i w:val="0"/>
                <w:color w:val="auto"/>
                <w:sz w:val="22"/>
                <w:szCs w:val="22"/>
                <w:u w:val="none"/>
                <w:lang w:val="en-US" w:eastAsia="zh-CN"/>
              </w:rPr>
              <w:t>15.5</w:t>
            </w:r>
          </w:p>
        </w:tc>
        <w:tc>
          <w:tcPr>
            <w:tcW w:w="20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小标宋_GBK" w:hAnsi="方正小标宋_GBK" w:eastAsia="方正小标宋_GBK" w:cs="方正小标宋_GBK"/>
                <w:i w:val="0"/>
                <w:color w:val="auto"/>
                <w:sz w:val="22"/>
                <w:szCs w:val="22"/>
                <w:u w:val="none"/>
                <w:lang w:val="en-US" w:eastAsia="zh-CN"/>
              </w:rPr>
            </w:pPr>
            <w:r>
              <w:rPr>
                <w:rFonts w:hint="eastAsia" w:ascii="方正小标宋_GBK" w:hAnsi="方正小标宋_GBK" w:eastAsia="方正小标宋_GBK" w:cs="方正小标宋_GBK"/>
                <w:i w:val="0"/>
                <w:color w:val="auto"/>
                <w:sz w:val="22"/>
                <w:szCs w:val="22"/>
                <w:u w:val="none"/>
                <w:lang w:val="en-US" w:eastAsia="zh-CN"/>
              </w:rPr>
              <w:t>3.5</w:t>
            </w:r>
          </w:p>
        </w:tc>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outlineLvl w:val="9"/>
              <w:rPr>
                <w:rFonts w:hint="default" w:ascii="Times New Roman" w:hAnsi="Times New Roman" w:eastAsia="方正小标宋_GBK" w:cs="Times New Roman"/>
                <w:i w:val="0"/>
                <w:color w:val="auto"/>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小标宋_GBK" w:cs="Times New Roman"/>
                <w:i w:val="0"/>
                <w:color w:val="auto"/>
                <w:sz w:val="22"/>
                <w:szCs w:val="22"/>
                <w:u w:val="none"/>
              </w:rPr>
            </w:pPr>
            <w:r>
              <w:rPr>
                <w:rFonts w:hint="default" w:ascii="Times New Roman" w:hAnsi="Times New Roman" w:eastAsia="方正小标宋_GBK" w:cs="Times New Roman"/>
                <w:i w:val="0"/>
                <w:color w:val="auto"/>
                <w:kern w:val="0"/>
                <w:sz w:val="22"/>
                <w:szCs w:val="22"/>
                <w:highlight w:val="none"/>
                <w:u w:val="none"/>
                <w:lang w:val="en-US" w:eastAsia="zh-CN" w:bidi="ar"/>
              </w:rPr>
              <w:t>7</w:t>
            </w:r>
          </w:p>
        </w:tc>
        <w:tc>
          <w:tcPr>
            <w:tcW w:w="3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小标宋_GBK" w:cs="Times New Roman"/>
                <w:i w:val="0"/>
                <w:color w:val="auto"/>
                <w:sz w:val="22"/>
                <w:szCs w:val="22"/>
                <w:u w:val="none"/>
              </w:rPr>
            </w:pPr>
            <w:r>
              <w:rPr>
                <w:rFonts w:hint="default" w:ascii="Times New Roman" w:hAnsi="Times New Roman" w:eastAsia="方正小标宋_GBK" w:cs="Times New Roman"/>
                <w:i w:val="0"/>
                <w:color w:val="auto"/>
                <w:kern w:val="0"/>
                <w:sz w:val="20"/>
                <w:szCs w:val="20"/>
                <w:highlight w:val="none"/>
                <w:u w:val="none"/>
                <w:lang w:val="en-US" w:eastAsia="zh-CN" w:bidi="ar"/>
              </w:rPr>
              <w:t>外贸进出口总额</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小标宋_GBK" w:cs="Times New Roman"/>
                <w:i w:val="0"/>
                <w:color w:val="auto"/>
                <w:sz w:val="22"/>
                <w:szCs w:val="22"/>
                <w:u w:val="none"/>
              </w:rPr>
            </w:pPr>
            <w:r>
              <w:rPr>
                <w:rFonts w:hint="default" w:ascii="Times New Roman" w:hAnsi="Times New Roman" w:eastAsia="方正小标宋_GBK" w:cs="Times New Roman"/>
                <w:i w:val="0"/>
                <w:color w:val="auto"/>
                <w:kern w:val="0"/>
                <w:sz w:val="20"/>
                <w:szCs w:val="20"/>
                <w:highlight w:val="none"/>
                <w:u w:val="none"/>
                <w:lang w:val="en-US" w:eastAsia="zh-CN" w:bidi="ar"/>
              </w:rPr>
              <w:t>亿元，%</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小标宋_GBK" w:hAnsi="方正小标宋_GBK" w:eastAsia="方正小标宋_GBK" w:cs="方正小标宋_GBK"/>
                <w:i w:val="0"/>
                <w:color w:val="auto"/>
                <w:sz w:val="22"/>
                <w:szCs w:val="22"/>
                <w:highlight w:val="none"/>
                <w:u w:val="none"/>
                <w:lang w:val="en-US"/>
              </w:rPr>
            </w:pPr>
            <w:r>
              <w:rPr>
                <w:rFonts w:hint="eastAsia" w:ascii="方正小标宋_GBK" w:hAnsi="方正小标宋_GBK" w:eastAsia="方正小标宋_GBK" w:cs="方正小标宋_GBK"/>
                <w:i w:val="0"/>
                <w:color w:val="auto"/>
                <w:kern w:val="0"/>
                <w:sz w:val="22"/>
                <w:szCs w:val="22"/>
                <w:highlight w:val="none"/>
                <w:u w:val="none"/>
                <w:lang w:val="en-US" w:eastAsia="zh-CN" w:bidi="ar"/>
              </w:rPr>
              <w:t>1.45</w:t>
            </w: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小标宋_GBK" w:hAnsi="方正小标宋_GBK" w:eastAsia="方正小标宋_GBK" w:cs="方正小标宋_GBK"/>
                <w:i w:val="0"/>
                <w:color w:val="auto"/>
                <w:sz w:val="22"/>
                <w:szCs w:val="22"/>
                <w:u w:val="none"/>
              </w:rPr>
            </w:pPr>
            <w:r>
              <w:rPr>
                <w:rFonts w:hint="eastAsia" w:ascii="方正小标宋_GBK" w:hAnsi="方正小标宋_GBK" w:eastAsia="方正小标宋_GBK" w:cs="方正小标宋_GBK"/>
                <w:i w:val="0"/>
                <w:color w:val="auto"/>
                <w:kern w:val="0"/>
                <w:sz w:val="22"/>
                <w:szCs w:val="22"/>
                <w:highlight w:val="none"/>
                <w:u w:val="none"/>
                <w:lang w:val="en-US" w:eastAsia="zh-CN" w:bidi="ar"/>
              </w:rPr>
              <w:t>16</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小标宋_GBK" w:hAnsi="方正小标宋_GBK" w:eastAsia="方正小标宋_GBK" w:cs="方正小标宋_GBK"/>
                <w:i w:val="0"/>
                <w:color w:val="auto"/>
                <w:sz w:val="22"/>
                <w:szCs w:val="22"/>
                <w:u w:val="none"/>
                <w:lang w:val="en-US" w:eastAsia="zh-CN"/>
              </w:rPr>
            </w:pPr>
            <w:r>
              <w:rPr>
                <w:rFonts w:hint="eastAsia" w:ascii="方正小标宋_GBK" w:hAnsi="方正小标宋_GBK" w:eastAsia="方正小标宋_GBK" w:cs="方正小标宋_GBK"/>
                <w:i w:val="0"/>
                <w:color w:val="auto"/>
                <w:sz w:val="22"/>
                <w:szCs w:val="22"/>
                <w:u w:val="none"/>
                <w:lang w:val="en-US" w:eastAsia="zh-CN"/>
              </w:rPr>
              <w:t>1.48</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小标宋_GBK" w:hAnsi="方正小标宋_GBK" w:eastAsia="方正小标宋_GBK" w:cs="方正小标宋_GBK"/>
                <w:i w:val="0"/>
                <w:color w:val="auto"/>
                <w:sz w:val="22"/>
                <w:szCs w:val="22"/>
                <w:u w:val="none"/>
                <w:lang w:val="en-US" w:eastAsia="zh-CN"/>
              </w:rPr>
            </w:pPr>
            <w:r>
              <w:rPr>
                <w:rFonts w:hint="eastAsia" w:ascii="方正小标宋_GBK" w:hAnsi="方正小标宋_GBK" w:eastAsia="方正小标宋_GBK" w:cs="方正小标宋_GBK"/>
                <w:i w:val="0"/>
                <w:color w:val="auto"/>
                <w:sz w:val="22"/>
                <w:szCs w:val="22"/>
                <w:u w:val="none"/>
                <w:lang w:val="en-US" w:eastAsia="zh-CN"/>
              </w:rPr>
              <w:t>20</w:t>
            </w:r>
          </w:p>
        </w:tc>
        <w:tc>
          <w:tcPr>
            <w:tcW w:w="20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小标宋_GBK" w:hAnsi="方正小标宋_GBK" w:eastAsia="方正小标宋_GBK" w:cs="方正小标宋_GBK"/>
                <w:i w:val="0"/>
                <w:color w:val="auto"/>
                <w:sz w:val="22"/>
                <w:szCs w:val="22"/>
                <w:u w:val="none"/>
                <w:lang w:val="en-US" w:eastAsia="zh-CN"/>
              </w:rPr>
            </w:pPr>
            <w:r>
              <w:rPr>
                <w:rFonts w:hint="eastAsia" w:ascii="方正小标宋_GBK" w:hAnsi="方正小标宋_GBK" w:eastAsia="方正小标宋_GBK" w:cs="方正小标宋_GBK"/>
                <w:i w:val="0"/>
                <w:color w:val="auto"/>
                <w:sz w:val="22"/>
                <w:szCs w:val="22"/>
                <w:u w:val="none"/>
                <w:lang w:val="en-US" w:eastAsia="zh-CN"/>
              </w:rPr>
              <w:t>4</w:t>
            </w:r>
          </w:p>
        </w:tc>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outlineLvl w:val="9"/>
              <w:rPr>
                <w:rFonts w:hint="default" w:ascii="Times New Roman" w:hAnsi="Times New Roman" w:eastAsia="方正小标宋_GBK" w:cs="Times New Roman"/>
                <w:i w:val="0"/>
                <w:color w:val="auto"/>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22"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小标宋_GBK" w:cs="Times New Roman"/>
                <w:i w:val="0"/>
                <w:color w:val="auto"/>
                <w:sz w:val="22"/>
                <w:szCs w:val="22"/>
                <w:u w:val="none"/>
              </w:rPr>
            </w:pPr>
            <w:r>
              <w:rPr>
                <w:rFonts w:hint="default" w:ascii="Times New Roman" w:hAnsi="Times New Roman" w:eastAsia="方正小标宋_GBK" w:cs="Times New Roman"/>
                <w:i w:val="0"/>
                <w:color w:val="auto"/>
                <w:kern w:val="0"/>
                <w:sz w:val="22"/>
                <w:szCs w:val="22"/>
                <w:highlight w:val="none"/>
                <w:u w:val="none"/>
                <w:lang w:val="en-US" w:eastAsia="zh-CN" w:bidi="ar"/>
              </w:rPr>
              <w:t>8</w:t>
            </w:r>
          </w:p>
        </w:tc>
        <w:tc>
          <w:tcPr>
            <w:tcW w:w="3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小标宋_GBK" w:cs="Times New Roman"/>
                <w:i w:val="0"/>
                <w:color w:val="auto"/>
                <w:sz w:val="22"/>
                <w:szCs w:val="22"/>
                <w:u w:val="none"/>
              </w:rPr>
            </w:pPr>
            <w:r>
              <w:rPr>
                <w:rFonts w:hint="default" w:ascii="Times New Roman" w:hAnsi="Times New Roman" w:eastAsia="方正小标宋_GBK" w:cs="Times New Roman"/>
                <w:i w:val="0"/>
                <w:color w:val="auto"/>
                <w:kern w:val="0"/>
                <w:sz w:val="20"/>
                <w:szCs w:val="20"/>
                <w:highlight w:val="none"/>
                <w:u w:val="none"/>
                <w:lang w:val="en-US" w:eastAsia="zh-CN" w:bidi="ar"/>
              </w:rPr>
              <w:t>招商引资市外到位资金</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小标宋_GBK" w:cs="Times New Roman"/>
                <w:i w:val="0"/>
                <w:color w:val="auto"/>
                <w:sz w:val="22"/>
                <w:szCs w:val="22"/>
                <w:u w:val="none"/>
              </w:rPr>
            </w:pPr>
            <w:r>
              <w:rPr>
                <w:rFonts w:hint="default" w:ascii="Times New Roman" w:hAnsi="Times New Roman" w:eastAsia="方正小标宋_GBK" w:cs="Times New Roman"/>
                <w:i w:val="0"/>
                <w:color w:val="auto"/>
                <w:kern w:val="0"/>
                <w:sz w:val="20"/>
                <w:szCs w:val="20"/>
                <w:highlight w:val="none"/>
                <w:u w:val="none"/>
                <w:lang w:val="en-US" w:eastAsia="zh-CN" w:bidi="ar"/>
              </w:rPr>
              <w:t>亿元，%</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小标宋_GBK" w:hAnsi="方正小标宋_GBK" w:eastAsia="方正小标宋_GBK" w:cs="方正小标宋_GBK"/>
                <w:i w:val="0"/>
                <w:color w:val="auto"/>
                <w:sz w:val="22"/>
                <w:szCs w:val="22"/>
                <w:u w:val="none"/>
              </w:rPr>
            </w:pPr>
            <w:r>
              <w:rPr>
                <w:rFonts w:hint="eastAsia" w:ascii="方正小标宋_GBK" w:hAnsi="方正小标宋_GBK" w:eastAsia="方正小标宋_GBK" w:cs="方正小标宋_GBK"/>
                <w:i w:val="0"/>
                <w:color w:val="auto"/>
                <w:kern w:val="0"/>
                <w:sz w:val="22"/>
                <w:szCs w:val="22"/>
                <w:highlight w:val="none"/>
                <w:u w:val="none"/>
                <w:lang w:val="en-US" w:eastAsia="zh-CN" w:bidi="ar"/>
              </w:rPr>
              <w:t>218.14</w:t>
            </w: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小标宋_GBK" w:hAnsi="方正小标宋_GBK" w:eastAsia="方正小标宋_GBK" w:cs="方正小标宋_GBK"/>
                <w:i w:val="0"/>
                <w:color w:val="auto"/>
                <w:sz w:val="22"/>
                <w:szCs w:val="22"/>
                <w:u w:val="none"/>
              </w:rPr>
            </w:pPr>
            <w:r>
              <w:rPr>
                <w:rFonts w:hint="eastAsia" w:ascii="方正小标宋_GBK" w:hAnsi="方正小标宋_GBK" w:eastAsia="方正小标宋_GBK" w:cs="方正小标宋_GBK"/>
                <w:i w:val="0"/>
                <w:color w:val="auto"/>
                <w:kern w:val="0"/>
                <w:sz w:val="22"/>
                <w:szCs w:val="22"/>
                <w:highlight w:val="none"/>
                <w:u w:val="none"/>
                <w:lang w:val="en-US" w:eastAsia="zh-CN" w:bidi="ar"/>
              </w:rPr>
              <w:t>11</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小标宋_GBK" w:hAnsi="方正小标宋_GBK" w:eastAsia="方正小标宋_GBK" w:cs="方正小标宋_GBK"/>
                <w:i w:val="0"/>
                <w:color w:val="auto"/>
                <w:sz w:val="22"/>
                <w:szCs w:val="22"/>
                <w:u w:val="none"/>
                <w:lang w:val="en-US" w:eastAsia="zh-CN"/>
              </w:rPr>
            </w:pPr>
            <w:r>
              <w:rPr>
                <w:rFonts w:hint="eastAsia" w:ascii="方正小标宋_GBK" w:hAnsi="方正小标宋_GBK" w:eastAsia="方正小标宋_GBK" w:cs="方正小标宋_GBK"/>
                <w:i w:val="0"/>
                <w:color w:val="auto"/>
                <w:sz w:val="22"/>
                <w:szCs w:val="22"/>
                <w:u w:val="none"/>
                <w:lang w:val="en-US" w:eastAsia="zh-CN"/>
              </w:rPr>
              <w:t>232.11</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小标宋_GBK" w:hAnsi="方正小标宋_GBK" w:eastAsia="方正小标宋_GBK" w:cs="方正小标宋_GBK"/>
                <w:i w:val="0"/>
                <w:color w:val="auto"/>
                <w:sz w:val="22"/>
                <w:szCs w:val="22"/>
                <w:u w:val="none"/>
                <w:lang w:val="en-US" w:eastAsia="zh-CN"/>
              </w:rPr>
            </w:pPr>
            <w:r>
              <w:rPr>
                <w:rFonts w:hint="eastAsia" w:ascii="方正小标宋_GBK" w:hAnsi="方正小标宋_GBK" w:eastAsia="方正小标宋_GBK" w:cs="方正小标宋_GBK"/>
                <w:i w:val="0"/>
                <w:color w:val="auto"/>
                <w:sz w:val="22"/>
                <w:szCs w:val="22"/>
                <w:u w:val="none"/>
                <w:lang w:val="en-US" w:eastAsia="zh-CN"/>
              </w:rPr>
              <w:t>18.1</w:t>
            </w:r>
          </w:p>
        </w:tc>
        <w:tc>
          <w:tcPr>
            <w:tcW w:w="20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小标宋_GBK" w:hAnsi="方正小标宋_GBK" w:eastAsia="方正小标宋_GBK" w:cs="方正小标宋_GBK"/>
                <w:i w:val="0"/>
                <w:color w:val="auto"/>
                <w:sz w:val="22"/>
                <w:szCs w:val="22"/>
                <w:u w:val="none"/>
                <w:lang w:val="en-US" w:eastAsia="zh-CN"/>
              </w:rPr>
            </w:pPr>
            <w:r>
              <w:rPr>
                <w:rFonts w:hint="eastAsia" w:ascii="方正小标宋_GBK" w:hAnsi="方正小标宋_GBK" w:eastAsia="方正小标宋_GBK" w:cs="方正小标宋_GBK"/>
                <w:i w:val="0"/>
                <w:color w:val="auto"/>
                <w:sz w:val="22"/>
                <w:szCs w:val="22"/>
                <w:u w:val="none"/>
                <w:lang w:val="en-US" w:eastAsia="zh-CN"/>
              </w:rPr>
              <w:t>7.1</w:t>
            </w:r>
          </w:p>
        </w:tc>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outlineLvl w:val="9"/>
              <w:rPr>
                <w:rFonts w:hint="default" w:ascii="Times New Roman" w:hAnsi="Times New Roman" w:eastAsia="方正小标宋_GBK"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7"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小标宋_GBK" w:cs="Times New Roman"/>
                <w:i w:val="0"/>
                <w:color w:val="auto"/>
                <w:sz w:val="22"/>
                <w:szCs w:val="22"/>
                <w:u w:val="none"/>
              </w:rPr>
            </w:pPr>
            <w:r>
              <w:rPr>
                <w:rFonts w:hint="default" w:ascii="Times New Roman" w:hAnsi="Times New Roman" w:eastAsia="方正小标宋_GBK" w:cs="Times New Roman"/>
                <w:i w:val="0"/>
                <w:color w:val="auto"/>
                <w:kern w:val="0"/>
                <w:sz w:val="22"/>
                <w:szCs w:val="22"/>
                <w:highlight w:val="none"/>
                <w:u w:val="none"/>
                <w:lang w:val="en-US" w:eastAsia="zh-CN" w:bidi="ar"/>
              </w:rPr>
              <w:t>9</w:t>
            </w:r>
          </w:p>
        </w:tc>
        <w:tc>
          <w:tcPr>
            <w:tcW w:w="3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小标宋_GBK" w:cs="Times New Roman"/>
                <w:i w:val="0"/>
                <w:color w:val="auto"/>
                <w:sz w:val="22"/>
                <w:szCs w:val="22"/>
                <w:u w:val="none"/>
              </w:rPr>
            </w:pPr>
            <w:r>
              <w:rPr>
                <w:rFonts w:hint="default" w:ascii="Times New Roman" w:hAnsi="Times New Roman" w:eastAsia="方正小标宋_GBK" w:cs="Times New Roman"/>
                <w:i w:val="0"/>
                <w:color w:val="auto"/>
                <w:kern w:val="0"/>
                <w:sz w:val="20"/>
                <w:szCs w:val="20"/>
                <w:highlight w:val="none"/>
                <w:u w:val="none"/>
                <w:lang w:val="en-US" w:eastAsia="zh-CN" w:bidi="ar"/>
              </w:rPr>
              <w:t>城镇常住居民人均可支配收入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小标宋_GBK" w:cs="Times New Roman"/>
                <w:i w:val="0"/>
                <w:color w:val="auto"/>
                <w:sz w:val="22"/>
                <w:szCs w:val="22"/>
                <w:u w:val="none"/>
              </w:rPr>
            </w:pPr>
            <w:r>
              <w:rPr>
                <w:rFonts w:hint="default" w:ascii="Times New Roman" w:hAnsi="Times New Roman" w:eastAsia="方正小标宋_GBK" w:cs="Times New Roman"/>
                <w:i w:val="0"/>
                <w:color w:val="auto"/>
                <w:kern w:val="0"/>
                <w:sz w:val="20"/>
                <w:szCs w:val="20"/>
                <w:highlight w:val="none"/>
                <w:u w:val="none"/>
                <w:lang w:val="en-US" w:eastAsia="zh-CN" w:bidi="ar"/>
              </w:rPr>
              <w:t>元，%</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小标宋_GBK" w:hAnsi="方正小标宋_GBK" w:eastAsia="方正小标宋_GBK" w:cs="方正小标宋_GBK"/>
                <w:i w:val="0"/>
                <w:color w:val="auto"/>
                <w:sz w:val="22"/>
                <w:szCs w:val="22"/>
                <w:u w:val="none"/>
              </w:rPr>
            </w:pPr>
            <w:r>
              <w:rPr>
                <w:rFonts w:hint="eastAsia" w:ascii="方正小标宋_GBK" w:hAnsi="方正小标宋_GBK" w:eastAsia="方正小标宋_GBK" w:cs="方正小标宋_GBK"/>
                <w:i w:val="0"/>
                <w:color w:val="auto"/>
                <w:kern w:val="0"/>
                <w:sz w:val="22"/>
                <w:szCs w:val="22"/>
                <w:highlight w:val="none"/>
                <w:u w:val="none"/>
                <w:lang w:val="en-US" w:eastAsia="zh-CN" w:bidi="ar"/>
              </w:rPr>
              <w:t>34563</w:t>
            </w: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小标宋_GBK" w:hAnsi="方正小标宋_GBK" w:eastAsia="方正小标宋_GBK" w:cs="方正小标宋_GBK"/>
                <w:i w:val="0"/>
                <w:color w:val="auto"/>
                <w:sz w:val="22"/>
                <w:szCs w:val="22"/>
                <w:u w:val="none"/>
              </w:rPr>
            </w:pPr>
            <w:r>
              <w:rPr>
                <w:rFonts w:hint="eastAsia" w:ascii="方正小标宋_GBK" w:hAnsi="方正小标宋_GBK" w:eastAsia="方正小标宋_GBK" w:cs="方正小标宋_GBK"/>
                <w:i w:val="0"/>
                <w:color w:val="auto"/>
                <w:kern w:val="0"/>
                <w:sz w:val="22"/>
                <w:szCs w:val="22"/>
                <w:highlight w:val="none"/>
                <w:u w:val="none"/>
                <w:lang w:val="en-US" w:eastAsia="zh-CN" w:bidi="ar"/>
              </w:rPr>
              <w:t>9</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小标宋_GBK" w:hAnsi="方正小标宋_GBK" w:eastAsia="方正小标宋_GBK" w:cs="方正小标宋_GBK"/>
                <w:i w:val="0"/>
                <w:color w:val="auto"/>
                <w:sz w:val="22"/>
                <w:szCs w:val="22"/>
                <w:u w:val="none"/>
                <w:lang w:val="en-US" w:eastAsia="zh-CN"/>
              </w:rPr>
            </w:pPr>
            <w:r>
              <w:rPr>
                <w:rFonts w:hint="eastAsia" w:ascii="方正小标宋_GBK" w:hAnsi="方正小标宋_GBK" w:eastAsia="方正小标宋_GBK" w:cs="方正小标宋_GBK"/>
                <w:color w:val="auto"/>
                <w:sz w:val="22"/>
                <w:szCs w:val="22"/>
                <w:u w:val="none"/>
              </w:rPr>
              <w:t>34842</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小标宋_GBK" w:hAnsi="方正小标宋_GBK" w:eastAsia="方正小标宋_GBK" w:cs="方正小标宋_GBK"/>
                <w:i w:val="0"/>
                <w:color w:val="auto"/>
                <w:sz w:val="22"/>
                <w:szCs w:val="22"/>
                <w:u w:val="none"/>
                <w:lang w:val="en-US" w:eastAsia="zh-CN"/>
              </w:rPr>
            </w:pPr>
            <w:r>
              <w:rPr>
                <w:rFonts w:hint="eastAsia" w:ascii="方正小标宋_GBK" w:hAnsi="方正小标宋_GBK" w:eastAsia="方正小标宋_GBK" w:cs="方正小标宋_GBK"/>
                <w:i w:val="0"/>
                <w:color w:val="auto"/>
                <w:sz w:val="22"/>
                <w:szCs w:val="22"/>
                <w:u w:val="none"/>
                <w:lang w:val="en-US" w:eastAsia="zh-CN"/>
              </w:rPr>
              <w:t>9.9</w:t>
            </w:r>
          </w:p>
        </w:tc>
        <w:tc>
          <w:tcPr>
            <w:tcW w:w="20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小标宋_GBK" w:hAnsi="方正小标宋_GBK" w:eastAsia="方正小标宋_GBK" w:cs="方正小标宋_GBK"/>
                <w:i w:val="0"/>
                <w:color w:val="auto"/>
                <w:sz w:val="22"/>
                <w:szCs w:val="22"/>
                <w:u w:val="none"/>
              </w:rPr>
            </w:pPr>
            <w:r>
              <w:rPr>
                <w:rFonts w:hint="eastAsia" w:ascii="方正小标宋_GBK" w:hAnsi="方正小标宋_GBK" w:eastAsia="方正小标宋_GBK" w:cs="方正小标宋_GBK"/>
                <w:i w:val="0"/>
                <w:color w:val="auto"/>
                <w:sz w:val="22"/>
                <w:szCs w:val="22"/>
                <w:u w:val="none"/>
                <w:lang w:val="en-US" w:eastAsia="zh-CN"/>
              </w:rPr>
              <w:t>0.9</w:t>
            </w:r>
          </w:p>
        </w:tc>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outlineLvl w:val="9"/>
              <w:rPr>
                <w:rFonts w:hint="default" w:ascii="Times New Roman" w:hAnsi="Times New Roman" w:eastAsia="方正小标宋_GBK" w:cs="Times New Roman"/>
                <w:i w:val="0"/>
                <w:color w:val="auto"/>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2"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小标宋_GBK" w:cs="Times New Roman"/>
                <w:i w:val="0"/>
                <w:color w:val="auto"/>
                <w:sz w:val="22"/>
                <w:szCs w:val="22"/>
                <w:u w:val="none"/>
              </w:rPr>
            </w:pPr>
            <w:r>
              <w:rPr>
                <w:rFonts w:hint="default" w:ascii="Times New Roman" w:hAnsi="Times New Roman" w:eastAsia="方正小标宋_GBK" w:cs="Times New Roman"/>
                <w:i w:val="0"/>
                <w:color w:val="auto"/>
                <w:kern w:val="0"/>
                <w:sz w:val="22"/>
                <w:szCs w:val="22"/>
                <w:highlight w:val="none"/>
                <w:u w:val="none"/>
                <w:lang w:val="en-US" w:eastAsia="zh-CN" w:bidi="ar"/>
              </w:rPr>
              <w:t>10</w:t>
            </w:r>
          </w:p>
        </w:tc>
        <w:tc>
          <w:tcPr>
            <w:tcW w:w="3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小标宋_GBK" w:cs="Times New Roman"/>
                <w:i w:val="0"/>
                <w:color w:val="auto"/>
                <w:sz w:val="22"/>
                <w:szCs w:val="22"/>
                <w:u w:val="none"/>
              </w:rPr>
            </w:pPr>
            <w:r>
              <w:rPr>
                <w:rFonts w:hint="default" w:ascii="Times New Roman" w:hAnsi="Times New Roman" w:eastAsia="方正小标宋_GBK" w:cs="Times New Roman"/>
                <w:i w:val="0"/>
                <w:color w:val="auto"/>
                <w:kern w:val="0"/>
                <w:sz w:val="20"/>
                <w:szCs w:val="20"/>
                <w:highlight w:val="none"/>
                <w:u w:val="none"/>
                <w:lang w:val="en-US" w:eastAsia="zh-CN" w:bidi="ar"/>
              </w:rPr>
              <w:t>农村常住居民人均可支配收入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方正小标宋_GBK" w:cs="Times New Roman"/>
                <w:i w:val="0"/>
                <w:color w:val="auto"/>
                <w:sz w:val="22"/>
                <w:szCs w:val="22"/>
                <w:u w:val="none"/>
              </w:rPr>
            </w:pPr>
            <w:r>
              <w:rPr>
                <w:rFonts w:hint="default" w:ascii="Times New Roman" w:hAnsi="Times New Roman" w:eastAsia="方正小标宋_GBK" w:cs="Times New Roman"/>
                <w:i w:val="0"/>
                <w:color w:val="auto"/>
                <w:kern w:val="0"/>
                <w:sz w:val="20"/>
                <w:szCs w:val="20"/>
                <w:highlight w:val="none"/>
                <w:u w:val="none"/>
                <w:lang w:val="en-US" w:eastAsia="zh-CN" w:bidi="ar"/>
              </w:rPr>
              <w:t>元，%</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小标宋_GBK" w:hAnsi="方正小标宋_GBK" w:eastAsia="方正小标宋_GBK" w:cs="方正小标宋_GBK"/>
                <w:i w:val="0"/>
                <w:color w:val="auto"/>
                <w:sz w:val="22"/>
                <w:szCs w:val="22"/>
                <w:u w:val="none"/>
              </w:rPr>
            </w:pPr>
            <w:r>
              <w:rPr>
                <w:rFonts w:hint="eastAsia" w:ascii="方正小标宋_GBK" w:hAnsi="方正小标宋_GBK" w:eastAsia="方正小标宋_GBK" w:cs="方正小标宋_GBK"/>
                <w:i w:val="0"/>
                <w:color w:val="auto"/>
                <w:kern w:val="0"/>
                <w:sz w:val="22"/>
                <w:szCs w:val="22"/>
                <w:highlight w:val="none"/>
                <w:u w:val="none"/>
                <w:lang w:val="en-US" w:eastAsia="zh-CN" w:bidi="ar"/>
              </w:rPr>
              <w:t>14156</w:t>
            </w: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小标宋_GBK" w:hAnsi="方正小标宋_GBK" w:eastAsia="方正小标宋_GBK" w:cs="方正小标宋_GBK"/>
                <w:i w:val="0"/>
                <w:color w:val="auto"/>
                <w:sz w:val="22"/>
                <w:szCs w:val="22"/>
                <w:u w:val="none"/>
              </w:rPr>
            </w:pPr>
            <w:r>
              <w:rPr>
                <w:rFonts w:hint="eastAsia" w:ascii="方正小标宋_GBK" w:hAnsi="方正小标宋_GBK" w:eastAsia="方正小标宋_GBK" w:cs="方正小标宋_GBK"/>
                <w:i w:val="0"/>
                <w:color w:val="auto"/>
                <w:kern w:val="0"/>
                <w:sz w:val="22"/>
                <w:szCs w:val="22"/>
                <w:highlight w:val="none"/>
                <w:u w:val="none"/>
                <w:lang w:val="en-US" w:eastAsia="zh-CN" w:bidi="ar"/>
              </w:rPr>
              <w:t>10</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小标宋_GBK" w:hAnsi="方正小标宋_GBK" w:eastAsia="方正小标宋_GBK" w:cs="方正小标宋_GBK"/>
                <w:i w:val="0"/>
                <w:color w:val="auto"/>
                <w:sz w:val="22"/>
                <w:szCs w:val="22"/>
                <w:u w:val="none"/>
                <w:lang w:val="en-US" w:eastAsia="zh-CN"/>
              </w:rPr>
            </w:pPr>
            <w:r>
              <w:rPr>
                <w:rFonts w:hint="eastAsia" w:ascii="方正小标宋_GBK" w:hAnsi="方正小标宋_GBK" w:eastAsia="方正小标宋_GBK" w:cs="方正小标宋_GBK"/>
                <w:color w:val="auto"/>
                <w:sz w:val="22"/>
                <w:szCs w:val="22"/>
                <w:u w:val="none"/>
              </w:rPr>
              <w:t>14238</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小标宋_GBK" w:hAnsi="方正小标宋_GBK" w:eastAsia="方正小标宋_GBK" w:cs="方正小标宋_GBK"/>
                <w:i w:val="0"/>
                <w:color w:val="auto"/>
                <w:sz w:val="22"/>
                <w:szCs w:val="22"/>
                <w:u w:val="none"/>
                <w:lang w:val="en-US" w:eastAsia="zh-CN"/>
              </w:rPr>
            </w:pPr>
            <w:r>
              <w:rPr>
                <w:rFonts w:hint="eastAsia" w:ascii="方正小标宋_GBK" w:hAnsi="方正小标宋_GBK" w:eastAsia="方正小标宋_GBK" w:cs="方正小标宋_GBK"/>
                <w:i w:val="0"/>
                <w:color w:val="auto"/>
                <w:sz w:val="22"/>
                <w:szCs w:val="22"/>
                <w:u w:val="none"/>
                <w:lang w:val="en-US" w:eastAsia="zh-CN"/>
              </w:rPr>
              <w:t>10.6</w:t>
            </w:r>
          </w:p>
        </w:tc>
        <w:tc>
          <w:tcPr>
            <w:tcW w:w="20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小标宋_GBK" w:hAnsi="方正小标宋_GBK" w:eastAsia="方正小标宋_GBK" w:cs="方正小标宋_GBK"/>
                <w:i w:val="0"/>
                <w:color w:val="auto"/>
                <w:sz w:val="22"/>
                <w:szCs w:val="22"/>
                <w:u w:val="none"/>
              </w:rPr>
            </w:pPr>
            <w:r>
              <w:rPr>
                <w:rFonts w:hint="eastAsia" w:ascii="方正小标宋_GBK" w:hAnsi="方正小标宋_GBK" w:eastAsia="方正小标宋_GBK" w:cs="方正小标宋_GBK"/>
                <w:i w:val="0"/>
                <w:color w:val="auto"/>
                <w:sz w:val="22"/>
                <w:szCs w:val="22"/>
                <w:u w:val="none"/>
                <w:lang w:val="en-US" w:eastAsia="zh-CN"/>
              </w:rPr>
              <w:t>0.6</w:t>
            </w:r>
          </w:p>
        </w:tc>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outlineLvl w:val="9"/>
              <w:rPr>
                <w:rFonts w:hint="default" w:ascii="Times New Roman" w:hAnsi="Times New Roman" w:eastAsia="方正小标宋_GBK" w:cs="Times New Roman"/>
                <w:i w:val="0"/>
                <w:color w:val="auto"/>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7"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方正小标宋_GBK" w:cs="Times New Roman"/>
                <w:i w:val="0"/>
                <w:color w:val="auto"/>
                <w:sz w:val="22"/>
                <w:szCs w:val="22"/>
                <w:u w:val="none"/>
              </w:rPr>
            </w:pPr>
            <w:r>
              <w:rPr>
                <w:rFonts w:hint="default" w:ascii="Times New Roman" w:hAnsi="Times New Roman" w:eastAsia="方正小标宋_GBK" w:cs="Times New Roman"/>
                <w:i w:val="0"/>
                <w:color w:val="auto"/>
                <w:kern w:val="0"/>
                <w:sz w:val="22"/>
                <w:szCs w:val="22"/>
                <w:highlight w:val="none"/>
                <w:u w:val="none"/>
                <w:lang w:val="en-US" w:eastAsia="zh-CN" w:bidi="ar"/>
              </w:rPr>
              <w:t>11</w:t>
            </w:r>
          </w:p>
        </w:tc>
        <w:tc>
          <w:tcPr>
            <w:tcW w:w="3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方正小标宋_GBK" w:cs="Times New Roman"/>
                <w:i w:val="0"/>
                <w:color w:val="auto"/>
                <w:sz w:val="22"/>
                <w:szCs w:val="22"/>
                <w:u w:val="none"/>
              </w:rPr>
            </w:pPr>
            <w:r>
              <w:rPr>
                <w:rFonts w:hint="default" w:ascii="Times New Roman" w:hAnsi="Times New Roman" w:eastAsia="方正小标宋_GBK" w:cs="Times New Roman"/>
                <w:i w:val="0"/>
                <w:color w:val="auto"/>
                <w:kern w:val="0"/>
                <w:sz w:val="20"/>
                <w:szCs w:val="20"/>
                <w:highlight w:val="none"/>
                <w:u w:val="none"/>
                <w:lang w:val="en-US" w:eastAsia="zh-CN" w:bidi="ar"/>
              </w:rPr>
              <w:t>城镇登记失业率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方正小标宋_GBK" w:cs="Times New Roman"/>
                <w:i w:val="0"/>
                <w:color w:val="auto"/>
                <w:sz w:val="22"/>
                <w:szCs w:val="22"/>
                <w:u w:val="none"/>
              </w:rPr>
            </w:pPr>
            <w:r>
              <w:rPr>
                <w:rFonts w:hint="default" w:ascii="Times New Roman" w:hAnsi="Times New Roman" w:eastAsia="方正小标宋_GBK" w:cs="Times New Roman"/>
                <w:i w:val="0"/>
                <w:color w:val="auto"/>
                <w:kern w:val="0"/>
                <w:sz w:val="20"/>
                <w:szCs w:val="20"/>
                <w:highlight w:val="none"/>
                <w:u w:val="none"/>
                <w:lang w:val="en-US" w:eastAsia="zh-CN" w:bidi="ar"/>
              </w:rPr>
              <w:t>%</w:t>
            </w:r>
          </w:p>
        </w:tc>
        <w:tc>
          <w:tcPr>
            <w:tcW w:w="24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方正小标宋_GBK" w:hAnsi="方正小标宋_GBK" w:eastAsia="方正小标宋_GBK" w:cs="方正小标宋_GBK"/>
                <w:i w:val="0"/>
                <w:color w:val="auto"/>
                <w:sz w:val="22"/>
                <w:szCs w:val="22"/>
                <w:u w:val="none"/>
              </w:rPr>
            </w:pPr>
            <w:r>
              <w:rPr>
                <w:rFonts w:hint="eastAsia" w:ascii="方正小标宋_GBK" w:hAnsi="方正小标宋_GBK" w:eastAsia="方正小标宋_GBK" w:cs="方正小标宋_GBK"/>
                <w:i w:val="0"/>
                <w:color w:val="auto"/>
                <w:kern w:val="0"/>
                <w:sz w:val="22"/>
                <w:szCs w:val="22"/>
                <w:highlight w:val="none"/>
                <w:u w:val="none"/>
                <w:lang w:val="en-US" w:eastAsia="zh-CN" w:bidi="ar"/>
              </w:rPr>
              <w:t>4.5%以内</w:t>
            </w:r>
          </w:p>
        </w:tc>
        <w:tc>
          <w:tcPr>
            <w:tcW w:w="24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小标宋_GBK" w:hAnsi="方正小标宋_GBK" w:eastAsia="方正小标宋_GBK" w:cs="方正小标宋_GBK"/>
                <w:i w:val="0"/>
                <w:color w:val="auto"/>
                <w:sz w:val="22"/>
                <w:szCs w:val="22"/>
                <w:u w:val="none"/>
              </w:rPr>
            </w:pPr>
            <w:r>
              <w:rPr>
                <w:rFonts w:hint="eastAsia" w:ascii="方正小标宋_GBK" w:hAnsi="方正小标宋_GBK" w:eastAsia="方正小标宋_GBK" w:cs="方正小标宋_GBK"/>
                <w:i w:val="0"/>
                <w:color w:val="auto"/>
                <w:kern w:val="0"/>
                <w:sz w:val="22"/>
                <w:szCs w:val="22"/>
                <w:u w:val="none"/>
                <w:lang w:val="en-US" w:eastAsia="zh-CN" w:bidi="ar"/>
              </w:rPr>
              <w:t>4%以内</w:t>
            </w:r>
          </w:p>
        </w:tc>
        <w:tc>
          <w:tcPr>
            <w:tcW w:w="20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小标宋_GBK" w:hAnsi="方正小标宋_GBK" w:eastAsia="方正小标宋_GBK" w:cs="方正小标宋_GBK"/>
                <w:i w:val="0"/>
                <w:color w:val="auto"/>
                <w:sz w:val="22"/>
                <w:szCs w:val="22"/>
                <w:u w:val="none"/>
              </w:rPr>
            </w:pPr>
            <w:r>
              <w:rPr>
                <w:rFonts w:hint="eastAsia" w:ascii="方正小标宋_GBK" w:hAnsi="方正小标宋_GBK" w:eastAsia="方正小标宋_GBK" w:cs="方正小标宋_GBK"/>
                <w:i w:val="0"/>
                <w:color w:val="auto"/>
                <w:kern w:val="0"/>
                <w:sz w:val="22"/>
                <w:szCs w:val="22"/>
                <w:u w:val="none"/>
                <w:lang w:val="en-US" w:eastAsia="zh-CN" w:bidi="ar"/>
              </w:rPr>
              <w:t>－</w:t>
            </w:r>
          </w:p>
        </w:tc>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bl>
            <w:tblPr>
              <w:tblStyle w:val="18"/>
              <w:tblW w:w="916"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2" w:hRule="atLeast"/>
              </w:trPr>
              <w:tc>
                <w:tcPr>
                  <w:tcW w:w="91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outlineLvl w:val="9"/>
                    <w:rPr>
                      <w:rFonts w:hint="eastAsia" w:ascii="方正小标宋_GBK" w:hAnsi="方正小标宋_GBK" w:eastAsia="方正小标宋_GBK" w:cs="方正小标宋_GBK"/>
                      <w:i w:val="0"/>
                      <w:color w:val="auto"/>
                      <w:sz w:val="22"/>
                      <w:szCs w:val="22"/>
                      <w:u w:val="none"/>
                    </w:rPr>
                  </w:pPr>
                </w:p>
              </w:tc>
            </w:tr>
          </w:tbl>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方正小标宋_GBK" w:hAnsi="方正小标宋_GBK" w:eastAsia="方正小标宋_GBK" w:cs="方正小标宋_GBK"/>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7"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方正小标宋_GBK" w:cs="Times New Roman"/>
                <w:i w:val="0"/>
                <w:color w:val="auto"/>
                <w:sz w:val="22"/>
                <w:szCs w:val="22"/>
                <w:u w:val="none"/>
              </w:rPr>
            </w:pPr>
            <w:r>
              <w:rPr>
                <w:rFonts w:hint="default" w:ascii="Times New Roman" w:hAnsi="Times New Roman" w:eastAsia="方正小标宋_GBK" w:cs="Times New Roman"/>
                <w:i w:val="0"/>
                <w:color w:val="auto"/>
                <w:kern w:val="0"/>
                <w:sz w:val="22"/>
                <w:szCs w:val="22"/>
                <w:highlight w:val="none"/>
                <w:u w:val="none"/>
                <w:lang w:val="en-US" w:eastAsia="zh-CN" w:bidi="ar"/>
              </w:rPr>
              <w:t>12</w:t>
            </w:r>
          </w:p>
        </w:tc>
        <w:tc>
          <w:tcPr>
            <w:tcW w:w="3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方正小标宋_GBK" w:cs="Times New Roman"/>
                <w:i w:val="0"/>
                <w:color w:val="auto"/>
                <w:sz w:val="22"/>
                <w:szCs w:val="22"/>
                <w:u w:val="none"/>
              </w:rPr>
            </w:pPr>
            <w:r>
              <w:rPr>
                <w:rFonts w:hint="default" w:ascii="Times New Roman" w:hAnsi="Times New Roman" w:eastAsia="方正小标宋_GBK" w:cs="Times New Roman"/>
                <w:i w:val="0"/>
                <w:color w:val="auto"/>
                <w:kern w:val="0"/>
                <w:sz w:val="20"/>
                <w:szCs w:val="20"/>
                <w:highlight w:val="none"/>
                <w:u w:val="none"/>
                <w:lang w:val="en-US" w:eastAsia="zh-CN" w:bidi="ar"/>
              </w:rPr>
              <w:t>居民消费价格总水平累计涨幅</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方正小标宋_GBK" w:cs="Times New Roman"/>
                <w:i w:val="0"/>
                <w:color w:val="auto"/>
                <w:sz w:val="22"/>
                <w:szCs w:val="22"/>
                <w:u w:val="none"/>
              </w:rPr>
            </w:pPr>
            <w:r>
              <w:rPr>
                <w:rFonts w:hint="default" w:ascii="Times New Roman" w:hAnsi="Times New Roman" w:eastAsia="方正小标宋_GBK" w:cs="Times New Roman"/>
                <w:i w:val="0"/>
                <w:color w:val="auto"/>
                <w:kern w:val="0"/>
                <w:sz w:val="20"/>
                <w:szCs w:val="20"/>
                <w:highlight w:val="none"/>
                <w:u w:val="none"/>
                <w:lang w:val="en-US" w:eastAsia="zh-CN" w:bidi="ar"/>
              </w:rPr>
              <w:t>%</w:t>
            </w:r>
          </w:p>
        </w:tc>
        <w:tc>
          <w:tcPr>
            <w:tcW w:w="24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方正小标宋_GBK" w:hAnsi="方正小标宋_GBK" w:eastAsia="方正小标宋_GBK" w:cs="方正小标宋_GBK"/>
                <w:i w:val="0"/>
                <w:color w:val="auto"/>
                <w:sz w:val="22"/>
                <w:szCs w:val="22"/>
                <w:u w:val="none"/>
              </w:rPr>
            </w:pPr>
            <w:r>
              <w:rPr>
                <w:rFonts w:hint="eastAsia" w:ascii="方正小标宋_GBK" w:hAnsi="方正小标宋_GBK" w:eastAsia="方正小标宋_GBK" w:cs="方正小标宋_GBK"/>
                <w:i w:val="0"/>
                <w:color w:val="auto"/>
                <w:kern w:val="0"/>
                <w:sz w:val="22"/>
                <w:szCs w:val="22"/>
                <w:highlight w:val="none"/>
                <w:u w:val="none"/>
                <w:lang w:val="en-US" w:eastAsia="zh-CN" w:bidi="ar"/>
              </w:rPr>
              <w:t>3.5%左右</w:t>
            </w:r>
          </w:p>
        </w:tc>
        <w:tc>
          <w:tcPr>
            <w:tcW w:w="24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小标宋_GBK" w:hAnsi="方正小标宋_GBK" w:eastAsia="方正小标宋_GBK" w:cs="方正小标宋_GBK"/>
                <w:i w:val="0"/>
                <w:color w:val="auto"/>
                <w:sz w:val="22"/>
                <w:szCs w:val="22"/>
                <w:u w:val="none"/>
              </w:rPr>
            </w:pPr>
            <w:r>
              <w:rPr>
                <w:rFonts w:hint="eastAsia" w:ascii="方正小标宋_GBK" w:hAnsi="方正小标宋_GBK" w:eastAsia="方正小标宋_GBK" w:cs="方正小标宋_GBK"/>
                <w:i w:val="0"/>
                <w:color w:val="auto"/>
                <w:kern w:val="0"/>
                <w:sz w:val="22"/>
                <w:szCs w:val="22"/>
                <w:u w:val="none"/>
                <w:lang w:val="en-US" w:eastAsia="zh-CN" w:bidi="ar"/>
              </w:rPr>
              <w:t>0.6</w:t>
            </w:r>
          </w:p>
        </w:tc>
        <w:tc>
          <w:tcPr>
            <w:tcW w:w="20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小标宋_GBK" w:hAnsi="方正小标宋_GBK" w:eastAsia="方正小标宋_GBK" w:cs="方正小标宋_GBK"/>
                <w:i w:val="0"/>
                <w:color w:val="auto"/>
                <w:sz w:val="22"/>
                <w:szCs w:val="22"/>
                <w:u w:val="none"/>
              </w:rPr>
            </w:pPr>
            <w:r>
              <w:rPr>
                <w:rFonts w:hint="eastAsia" w:ascii="方正小标宋_GBK" w:hAnsi="方正小标宋_GBK" w:eastAsia="方正小标宋_GBK" w:cs="方正小标宋_GBK"/>
                <w:i w:val="0"/>
                <w:color w:val="auto"/>
                <w:kern w:val="0"/>
                <w:sz w:val="22"/>
                <w:szCs w:val="22"/>
                <w:u w:val="none"/>
                <w:lang w:val="en-US" w:eastAsia="zh-CN" w:bidi="ar"/>
              </w:rPr>
              <w:t>－</w:t>
            </w:r>
          </w:p>
        </w:tc>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bl>
            <w:tblPr>
              <w:tblStyle w:val="18"/>
              <w:tblW w:w="916"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2" w:hRule="atLeast"/>
              </w:trPr>
              <w:tc>
                <w:tcPr>
                  <w:tcW w:w="91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outlineLvl w:val="9"/>
                    <w:rPr>
                      <w:rFonts w:hint="eastAsia" w:ascii="方正小标宋_GBK" w:hAnsi="方正小标宋_GBK" w:eastAsia="方正小标宋_GBK" w:cs="方正小标宋_GBK"/>
                      <w:i w:val="0"/>
                      <w:color w:val="auto"/>
                      <w:sz w:val="22"/>
                      <w:szCs w:val="22"/>
                      <w:u w:val="none"/>
                      <w:lang w:val="en-US" w:eastAsia="zh-CN"/>
                    </w:rPr>
                  </w:pPr>
                </w:p>
              </w:tc>
            </w:tr>
          </w:tbl>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方正小标宋_GBK" w:hAnsi="方正小标宋_GBK" w:eastAsia="方正小标宋_GBK" w:cs="方正小标宋_GBK"/>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7"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方正小标宋_GBK" w:cs="Times New Roman"/>
                <w:i w:val="0"/>
                <w:color w:val="auto"/>
                <w:kern w:val="0"/>
                <w:sz w:val="22"/>
                <w:szCs w:val="22"/>
                <w:highlight w:val="none"/>
                <w:u w:val="none"/>
                <w:lang w:val="en-US" w:eastAsia="zh-CN" w:bidi="ar"/>
              </w:rPr>
            </w:pPr>
            <w:r>
              <w:rPr>
                <w:rFonts w:hint="eastAsia" w:ascii="Times New Roman" w:hAnsi="Times New Roman" w:eastAsia="方正小标宋_GBK" w:cs="Times New Roman"/>
                <w:i w:val="0"/>
                <w:color w:val="auto"/>
                <w:kern w:val="0"/>
                <w:sz w:val="22"/>
                <w:szCs w:val="22"/>
                <w:highlight w:val="none"/>
                <w:u w:val="none"/>
                <w:lang w:val="en-US" w:eastAsia="zh-CN" w:bidi="ar"/>
              </w:rPr>
              <w:t>13</w:t>
            </w:r>
          </w:p>
        </w:tc>
        <w:tc>
          <w:tcPr>
            <w:tcW w:w="3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方正小标宋_GBK" w:cs="Times New Roman"/>
                <w:i w:val="0"/>
                <w:color w:val="auto"/>
                <w:kern w:val="0"/>
                <w:sz w:val="22"/>
                <w:szCs w:val="22"/>
                <w:highlight w:val="none"/>
                <w:u w:val="none"/>
                <w:lang w:val="en-US" w:eastAsia="zh-CN" w:bidi="ar"/>
              </w:rPr>
            </w:pPr>
            <w:r>
              <w:rPr>
                <w:rFonts w:hint="eastAsia" w:ascii="Times New Roman" w:hAnsi="Times New Roman" w:eastAsia="方正小标宋_GBK" w:cs="Times New Roman"/>
                <w:i w:val="0"/>
                <w:color w:val="auto"/>
                <w:kern w:val="0"/>
                <w:sz w:val="22"/>
                <w:szCs w:val="22"/>
                <w:highlight w:val="none"/>
                <w:u w:val="none"/>
                <w:lang w:val="en-US" w:eastAsia="zh-CN" w:bidi="ar"/>
              </w:rPr>
              <w:t>单位生产总值能耗降幅</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方正小标宋_GBK" w:cs="Times New Roman"/>
                <w:i w:val="0"/>
                <w:color w:val="auto"/>
                <w:kern w:val="0"/>
                <w:sz w:val="22"/>
                <w:szCs w:val="22"/>
                <w:highlight w:val="none"/>
                <w:u w:val="none"/>
                <w:lang w:val="en-US" w:eastAsia="zh-CN" w:bidi="ar"/>
              </w:rPr>
            </w:pPr>
            <w:r>
              <w:rPr>
                <w:rFonts w:hint="eastAsia" w:ascii="Times New Roman" w:hAnsi="Times New Roman" w:eastAsia="方正小标宋_GBK" w:cs="Times New Roman"/>
                <w:i w:val="0"/>
                <w:color w:val="auto"/>
                <w:kern w:val="0"/>
                <w:sz w:val="22"/>
                <w:szCs w:val="22"/>
                <w:highlight w:val="none"/>
                <w:u w:val="none"/>
                <w:lang w:val="en-US" w:eastAsia="zh-CN" w:bidi="ar"/>
              </w:rPr>
              <w:t>%</w:t>
            </w:r>
          </w:p>
        </w:tc>
        <w:tc>
          <w:tcPr>
            <w:tcW w:w="24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方正小标宋_GBK" w:hAnsi="方正小标宋_GBK" w:eastAsia="方正小标宋_GBK" w:cs="方正小标宋_GBK"/>
                <w:i w:val="0"/>
                <w:color w:val="auto"/>
                <w:kern w:val="0"/>
                <w:sz w:val="22"/>
                <w:szCs w:val="22"/>
                <w:highlight w:val="none"/>
                <w:u w:val="none"/>
                <w:lang w:val="en-US" w:eastAsia="zh-CN" w:bidi="ar"/>
              </w:rPr>
            </w:pPr>
            <w:r>
              <w:rPr>
                <w:rFonts w:hint="eastAsia" w:ascii="方正小标宋_GBK" w:hAnsi="方正小标宋_GBK" w:eastAsia="方正小标宋_GBK" w:cs="方正小标宋_GBK"/>
                <w:i w:val="0"/>
                <w:color w:val="auto"/>
                <w:kern w:val="0"/>
                <w:sz w:val="22"/>
                <w:szCs w:val="22"/>
                <w:highlight w:val="none"/>
                <w:u w:val="none"/>
                <w:lang w:val="en-US" w:eastAsia="zh-CN" w:bidi="ar"/>
              </w:rPr>
              <w:t>完成市级下达目标</w:t>
            </w:r>
          </w:p>
        </w:tc>
        <w:tc>
          <w:tcPr>
            <w:tcW w:w="24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小标宋_GBK" w:hAnsi="方正小标宋_GBK" w:eastAsia="方正小标宋_GBK" w:cs="方正小标宋_GBK"/>
                <w:i w:val="0"/>
                <w:color w:val="auto"/>
                <w:kern w:val="0"/>
                <w:sz w:val="22"/>
                <w:szCs w:val="22"/>
                <w:u w:val="none"/>
                <w:lang w:val="en-US" w:eastAsia="zh-CN" w:bidi="ar"/>
              </w:rPr>
            </w:pPr>
            <w:r>
              <w:rPr>
                <w:rFonts w:hint="eastAsia" w:ascii="方正小标宋_GBK" w:hAnsi="方正小标宋_GBK" w:eastAsia="方正小标宋_GBK" w:cs="方正小标宋_GBK"/>
                <w:i w:val="0"/>
                <w:color w:val="auto"/>
                <w:kern w:val="0"/>
                <w:sz w:val="22"/>
                <w:szCs w:val="22"/>
                <w:u w:val="none"/>
                <w:lang w:val="en-US" w:eastAsia="zh-CN" w:bidi="ar"/>
              </w:rPr>
              <w:t>1.6%</w:t>
            </w:r>
          </w:p>
        </w:tc>
        <w:tc>
          <w:tcPr>
            <w:tcW w:w="20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小标宋_GBK" w:hAnsi="方正小标宋_GBK" w:eastAsia="方正小标宋_GBK" w:cs="方正小标宋_GBK"/>
                <w:i w:val="0"/>
                <w:color w:val="auto"/>
                <w:kern w:val="0"/>
                <w:sz w:val="22"/>
                <w:szCs w:val="22"/>
                <w:u w:val="none"/>
                <w:lang w:val="en-US" w:eastAsia="zh-CN" w:bidi="ar"/>
              </w:rPr>
            </w:pPr>
            <w:r>
              <w:rPr>
                <w:rFonts w:hint="eastAsia" w:ascii="方正小标宋_GBK" w:hAnsi="方正小标宋_GBK" w:eastAsia="方正小标宋_GBK" w:cs="方正小标宋_GBK"/>
                <w:i w:val="0"/>
                <w:color w:val="auto"/>
                <w:kern w:val="0"/>
                <w:sz w:val="22"/>
                <w:szCs w:val="22"/>
                <w:u w:val="none"/>
                <w:lang w:val="en-US" w:eastAsia="zh-CN" w:bidi="ar"/>
              </w:rPr>
              <w:t>－</w:t>
            </w:r>
          </w:p>
        </w:tc>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方正小标宋_GBK" w:hAnsi="方正小标宋_GBK" w:eastAsia="方正小标宋_GBK" w:cs="方正小标宋_GBK"/>
                <w:i w:val="0"/>
                <w:color w:val="auto"/>
                <w:sz w:val="22"/>
                <w:szCs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0" w:type="dxa"/>
          <w:trHeight w:val="465" w:hRule="atLeast"/>
        </w:trPr>
        <w:tc>
          <w:tcPr>
            <w:tcW w:w="1202" w:type="dxa"/>
            <w:gridSpan w:val="2"/>
            <w:shd w:val="clear" w:color="auto" w:fill="auto"/>
            <w:vAlign w:val="center"/>
          </w:tcPr>
          <w:p>
            <w:pPr>
              <w:keepNext w:val="0"/>
              <w:keepLines w:val="0"/>
              <w:widowControl/>
              <w:suppressLineNumbers w:val="0"/>
              <w:jc w:val="left"/>
              <w:textAlignment w:val="center"/>
              <w:rPr>
                <w:rFonts w:hint="default" w:ascii="Times New Roman" w:hAnsi="Times New Roman" w:eastAsia="方正小标宋_GBK" w:cs="Times New Roman"/>
                <w:i w:val="0"/>
                <w:color w:val="auto"/>
                <w:kern w:val="0"/>
                <w:sz w:val="20"/>
                <w:szCs w:val="20"/>
                <w:u w:val="none"/>
                <w:lang w:val="en-US" w:eastAsia="zh-CN" w:bidi="ar"/>
              </w:rPr>
            </w:pPr>
          </w:p>
          <w:p>
            <w:pPr>
              <w:keepNext w:val="0"/>
              <w:keepLines w:val="0"/>
              <w:widowControl/>
              <w:suppressLineNumbers w:val="0"/>
              <w:jc w:val="left"/>
              <w:textAlignment w:val="center"/>
              <w:rPr>
                <w:rFonts w:ascii="Times New Roman" w:hAnsi="Times New Roman" w:eastAsia="方正小标宋_GBK" w:cs="Times New Roman"/>
                <w:i w:val="0"/>
                <w:color w:val="auto"/>
                <w:sz w:val="20"/>
                <w:szCs w:val="20"/>
                <w:u w:val="none"/>
              </w:rPr>
            </w:pPr>
            <w:r>
              <w:rPr>
                <w:rFonts w:hint="default" w:ascii="Times New Roman" w:hAnsi="Times New Roman" w:eastAsia="方正小标宋_GBK" w:cs="Times New Roman"/>
                <w:i w:val="0"/>
                <w:color w:val="auto"/>
                <w:kern w:val="0"/>
                <w:sz w:val="20"/>
                <w:szCs w:val="20"/>
                <w:u w:val="none"/>
                <w:lang w:val="en-US" w:eastAsia="zh-CN" w:bidi="ar"/>
              </w:rPr>
              <w:t>附件2</w:t>
            </w:r>
          </w:p>
        </w:tc>
        <w:tc>
          <w:tcPr>
            <w:tcW w:w="4714" w:type="dxa"/>
            <w:gridSpan w:val="3"/>
            <w:shd w:val="clear" w:color="auto" w:fill="auto"/>
            <w:vAlign w:val="center"/>
          </w:tcPr>
          <w:p>
            <w:pPr>
              <w:rPr>
                <w:rFonts w:hint="default" w:ascii="Times New Roman" w:hAnsi="Times New Roman" w:eastAsia="宋体" w:cs="Times New Roman"/>
                <w:i w:val="0"/>
                <w:color w:val="auto"/>
                <w:sz w:val="22"/>
                <w:szCs w:val="22"/>
                <w:u w:val="none"/>
              </w:rPr>
            </w:pPr>
          </w:p>
        </w:tc>
        <w:tc>
          <w:tcPr>
            <w:tcW w:w="2159" w:type="dxa"/>
            <w:gridSpan w:val="2"/>
            <w:shd w:val="clear" w:color="auto" w:fill="auto"/>
            <w:vAlign w:val="center"/>
          </w:tcPr>
          <w:p>
            <w:pPr>
              <w:rPr>
                <w:rFonts w:hint="default" w:ascii="Times New Roman" w:hAnsi="Times New Roman" w:eastAsia="宋体" w:cs="Times New Roman"/>
                <w:i w:val="0"/>
                <w:color w:val="auto"/>
                <w:sz w:val="22"/>
                <w:szCs w:val="22"/>
                <w:u w:val="none"/>
              </w:rPr>
            </w:pPr>
          </w:p>
        </w:tc>
        <w:tc>
          <w:tcPr>
            <w:tcW w:w="2199" w:type="dxa"/>
            <w:gridSpan w:val="3"/>
            <w:shd w:val="clear" w:color="auto" w:fill="auto"/>
            <w:vAlign w:val="center"/>
          </w:tcPr>
          <w:p>
            <w:pPr>
              <w:rPr>
                <w:rFonts w:hint="default" w:ascii="Times New Roman" w:hAnsi="Times New Roman" w:eastAsia="宋体" w:cs="Times New Roman"/>
                <w:i w:val="0"/>
                <w:color w:val="auto"/>
                <w:sz w:val="22"/>
                <w:szCs w:val="22"/>
                <w:u w:val="none"/>
              </w:rPr>
            </w:pPr>
          </w:p>
        </w:tc>
        <w:tc>
          <w:tcPr>
            <w:tcW w:w="1226" w:type="dxa"/>
            <w:gridSpan w:val="2"/>
            <w:shd w:val="clear" w:color="auto" w:fill="auto"/>
            <w:vAlign w:val="center"/>
          </w:tcPr>
          <w:p>
            <w:pPr>
              <w:rPr>
                <w:rFonts w:hint="default" w:ascii="Times New Roman" w:hAnsi="Times New Roman" w:eastAsia="宋体" w:cs="Times New Roman"/>
                <w:i w:val="0"/>
                <w:color w:val="auto"/>
                <w:sz w:val="22"/>
                <w:szCs w:val="22"/>
                <w:u w:val="none"/>
              </w:rPr>
            </w:pPr>
          </w:p>
        </w:tc>
        <w:tc>
          <w:tcPr>
            <w:tcW w:w="2120" w:type="dxa"/>
            <w:gridSpan w:val="3"/>
            <w:shd w:val="clear" w:color="auto" w:fill="auto"/>
            <w:vAlign w:val="center"/>
          </w:tcPr>
          <w:p>
            <w:pPr>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0" w:type="dxa"/>
          <w:trHeight w:val="801" w:hRule="atLeast"/>
        </w:trPr>
        <w:tc>
          <w:tcPr>
            <w:tcW w:w="13620" w:type="dxa"/>
            <w:gridSpan w:val="15"/>
            <w:shd w:val="clear" w:color="auto" w:fill="auto"/>
            <w:vAlign w:val="center"/>
          </w:tcPr>
          <w:p>
            <w:pPr>
              <w:keepNext w:val="0"/>
              <w:keepLines w:val="0"/>
              <w:widowControl/>
              <w:suppressLineNumbers w:val="0"/>
              <w:jc w:val="center"/>
              <w:textAlignment w:val="center"/>
              <w:rPr>
                <w:rFonts w:hint="default" w:ascii="Times New Roman" w:hAnsi="Times New Roman" w:eastAsia="方正小标宋_GBK" w:cs="Times New Roman"/>
                <w:i w:val="0"/>
                <w:color w:val="auto"/>
                <w:sz w:val="44"/>
                <w:szCs w:val="44"/>
                <w:u w:val="none"/>
              </w:rPr>
            </w:pPr>
            <w:r>
              <w:rPr>
                <w:rFonts w:hint="default" w:ascii="Times New Roman" w:hAnsi="Times New Roman" w:eastAsia="方正小标宋_GBK" w:cs="Times New Roman"/>
                <w:i w:val="0"/>
                <w:color w:val="auto"/>
                <w:kern w:val="0"/>
                <w:sz w:val="44"/>
                <w:szCs w:val="44"/>
                <w:u w:val="none"/>
                <w:lang w:val="en-US" w:eastAsia="zh-CN" w:bidi="ar"/>
              </w:rPr>
              <w:t>临沧市临翔区2022年国民经济和社会发展计划</w:t>
            </w:r>
            <w:r>
              <w:rPr>
                <w:rFonts w:hint="eastAsia" w:ascii="Times New Roman" w:hAnsi="Times New Roman" w:eastAsia="方正小标宋_GBK" w:cs="Times New Roman"/>
                <w:i w:val="0"/>
                <w:color w:val="auto"/>
                <w:kern w:val="0"/>
                <w:sz w:val="44"/>
                <w:szCs w:val="44"/>
                <w:u w:val="none"/>
                <w:lang w:val="en-US" w:eastAsia="zh-CN" w:bidi="ar"/>
              </w:rPr>
              <w:t>目标建议</w:t>
            </w:r>
            <w:r>
              <w:rPr>
                <w:rFonts w:hint="default" w:ascii="Times New Roman" w:hAnsi="Times New Roman" w:eastAsia="方正小标宋_GBK" w:cs="Times New Roman"/>
                <w:i w:val="0"/>
                <w:color w:val="auto"/>
                <w:kern w:val="0"/>
                <w:sz w:val="44"/>
                <w:szCs w:val="44"/>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0" w:type="dxa"/>
          <w:trHeight w:val="382" w:hRule="atLeast"/>
        </w:trPr>
        <w:tc>
          <w:tcPr>
            <w:tcW w:w="12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center"/>
              <w:outlineLvl w:val="9"/>
              <w:rPr>
                <w:rFonts w:hint="default" w:ascii="Times New Roman" w:hAnsi="Times New Roman" w:eastAsia="方正小标宋_GBK" w:cs="Times New Roman"/>
                <w:i w:val="0"/>
                <w:color w:val="auto"/>
                <w:sz w:val="24"/>
                <w:szCs w:val="24"/>
                <w:u w:val="none"/>
              </w:rPr>
            </w:pPr>
            <w:r>
              <w:rPr>
                <w:rFonts w:hint="default" w:ascii="Times New Roman" w:hAnsi="Times New Roman" w:eastAsia="方正小标宋_GBK" w:cs="Times New Roman"/>
                <w:i w:val="0"/>
                <w:color w:val="auto"/>
                <w:kern w:val="0"/>
                <w:sz w:val="24"/>
                <w:szCs w:val="24"/>
                <w:u w:val="none"/>
                <w:lang w:val="en-US" w:eastAsia="zh-CN" w:bidi="ar"/>
              </w:rPr>
              <w:t>序号</w:t>
            </w:r>
          </w:p>
        </w:tc>
        <w:tc>
          <w:tcPr>
            <w:tcW w:w="471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center"/>
              <w:outlineLvl w:val="9"/>
              <w:rPr>
                <w:rFonts w:hint="default" w:ascii="Times New Roman" w:hAnsi="Times New Roman" w:eastAsia="方正小标宋_GBK" w:cs="Times New Roman"/>
                <w:i w:val="0"/>
                <w:color w:val="auto"/>
                <w:sz w:val="24"/>
                <w:szCs w:val="24"/>
                <w:u w:val="none"/>
              </w:rPr>
            </w:pPr>
            <w:r>
              <w:rPr>
                <w:rFonts w:hint="default" w:ascii="Times New Roman" w:hAnsi="Times New Roman" w:eastAsia="方正小标宋_GBK" w:cs="Times New Roman"/>
                <w:i w:val="0"/>
                <w:color w:val="auto"/>
                <w:kern w:val="0"/>
                <w:sz w:val="24"/>
                <w:szCs w:val="24"/>
                <w:u w:val="none"/>
                <w:lang w:val="en-US" w:eastAsia="zh-CN" w:bidi="ar"/>
              </w:rPr>
              <w:t>目标名称</w:t>
            </w:r>
          </w:p>
        </w:tc>
        <w:tc>
          <w:tcPr>
            <w:tcW w:w="215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center"/>
              <w:outlineLvl w:val="9"/>
              <w:rPr>
                <w:rFonts w:hint="default" w:ascii="Times New Roman" w:hAnsi="Times New Roman" w:eastAsia="方正小标宋_GBK" w:cs="Times New Roman"/>
                <w:i w:val="0"/>
                <w:color w:val="auto"/>
                <w:sz w:val="24"/>
                <w:szCs w:val="24"/>
                <w:u w:val="none"/>
              </w:rPr>
            </w:pPr>
            <w:r>
              <w:rPr>
                <w:rFonts w:hint="default" w:ascii="Times New Roman" w:hAnsi="Times New Roman" w:eastAsia="方正小标宋_GBK" w:cs="Times New Roman"/>
                <w:i w:val="0"/>
                <w:color w:val="auto"/>
                <w:kern w:val="0"/>
                <w:sz w:val="24"/>
                <w:szCs w:val="24"/>
                <w:u w:val="none"/>
                <w:lang w:val="en-US" w:eastAsia="zh-CN" w:bidi="ar"/>
              </w:rPr>
              <w:t>单位</w:t>
            </w:r>
          </w:p>
        </w:tc>
        <w:tc>
          <w:tcPr>
            <w:tcW w:w="43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center"/>
              <w:outlineLvl w:val="9"/>
              <w:rPr>
                <w:rFonts w:hint="default" w:ascii="Times New Roman" w:hAnsi="Times New Roman" w:eastAsia="方正小标宋_GBK" w:cs="Times New Roman"/>
                <w:i w:val="0"/>
                <w:color w:val="auto"/>
                <w:sz w:val="24"/>
                <w:szCs w:val="24"/>
                <w:u w:val="none"/>
              </w:rPr>
            </w:pPr>
            <w:r>
              <w:rPr>
                <w:rFonts w:hint="eastAsia" w:ascii="方正小标宋_GBK" w:hAnsi="方正小标宋_GBK" w:eastAsia="方正小标宋_GBK" w:cs="方正小标宋_GBK"/>
                <w:i w:val="0"/>
                <w:color w:val="auto"/>
                <w:kern w:val="0"/>
                <w:sz w:val="22"/>
                <w:szCs w:val="22"/>
                <w:u w:val="none"/>
                <w:lang w:val="en-US" w:eastAsia="zh-CN" w:bidi="ar"/>
              </w:rPr>
              <w:t>2022年人民代表大会目标建议</w:t>
            </w:r>
          </w:p>
        </w:tc>
        <w:tc>
          <w:tcPr>
            <w:tcW w:w="11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center"/>
              <w:outlineLvl w:val="9"/>
              <w:rPr>
                <w:rFonts w:hint="default" w:ascii="Times New Roman" w:hAnsi="Times New Roman" w:eastAsia="方正小标宋_GBK" w:cs="Times New Roman"/>
                <w:b w:val="0"/>
                <w:bCs w:val="0"/>
                <w:i w:val="0"/>
                <w:color w:val="auto"/>
                <w:sz w:val="22"/>
                <w:szCs w:val="22"/>
                <w:u w:val="none"/>
              </w:rPr>
            </w:pPr>
            <w:r>
              <w:rPr>
                <w:rFonts w:hint="default" w:ascii="Times New Roman" w:hAnsi="Times New Roman" w:eastAsia="方正小标宋_GBK" w:cs="Times New Roman"/>
                <w:b w:val="0"/>
                <w:bCs w:val="0"/>
                <w:i w:val="0"/>
                <w:color w:val="auto"/>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0" w:type="dxa"/>
          <w:trHeight w:val="260" w:hRule="atLeast"/>
        </w:trPr>
        <w:tc>
          <w:tcPr>
            <w:tcW w:w="12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default" w:ascii="Times New Roman" w:hAnsi="Times New Roman" w:eastAsia="方正小标宋_GBK" w:cs="Times New Roman"/>
                <w:i w:val="0"/>
                <w:color w:val="auto"/>
                <w:sz w:val="24"/>
                <w:szCs w:val="24"/>
                <w:u w:val="none"/>
              </w:rPr>
            </w:pPr>
          </w:p>
        </w:tc>
        <w:tc>
          <w:tcPr>
            <w:tcW w:w="471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default" w:ascii="Times New Roman" w:hAnsi="Times New Roman" w:eastAsia="方正小标宋_GBK" w:cs="Times New Roman"/>
                <w:i w:val="0"/>
                <w:color w:val="auto"/>
                <w:sz w:val="24"/>
                <w:szCs w:val="24"/>
                <w:u w:val="none"/>
              </w:rPr>
            </w:pPr>
          </w:p>
        </w:tc>
        <w:tc>
          <w:tcPr>
            <w:tcW w:w="21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default" w:ascii="Times New Roman" w:hAnsi="Times New Roman" w:eastAsia="方正小标宋_GBK" w:cs="Times New Roman"/>
                <w:i w:val="0"/>
                <w:color w:val="auto"/>
                <w:sz w:val="24"/>
                <w:szCs w:val="24"/>
                <w:u w:val="none"/>
              </w:rPr>
            </w:pPr>
          </w:p>
        </w:tc>
        <w:tc>
          <w:tcPr>
            <w:tcW w:w="21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center"/>
              <w:outlineLvl w:val="9"/>
              <w:rPr>
                <w:rFonts w:hint="default" w:ascii="Times New Roman" w:hAnsi="Times New Roman" w:eastAsia="方正小标宋_GBK" w:cs="Times New Roman"/>
                <w:i w:val="0"/>
                <w:color w:val="auto"/>
                <w:sz w:val="24"/>
                <w:szCs w:val="24"/>
                <w:u w:val="none"/>
              </w:rPr>
            </w:pPr>
            <w:r>
              <w:rPr>
                <w:rFonts w:hint="default" w:ascii="Times New Roman" w:hAnsi="Times New Roman" w:eastAsia="方正小标宋_GBK" w:cs="Times New Roman"/>
                <w:i w:val="0"/>
                <w:color w:val="auto"/>
                <w:kern w:val="0"/>
                <w:sz w:val="24"/>
                <w:szCs w:val="24"/>
                <w:u w:val="none"/>
                <w:lang w:val="en-US" w:eastAsia="zh-CN" w:bidi="ar"/>
              </w:rPr>
              <w:t>总量</w:t>
            </w:r>
          </w:p>
        </w:tc>
        <w:tc>
          <w:tcPr>
            <w:tcW w:w="21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center"/>
              <w:outlineLvl w:val="9"/>
              <w:rPr>
                <w:rFonts w:hint="default" w:ascii="Times New Roman" w:hAnsi="Times New Roman" w:eastAsia="方正小标宋_GBK" w:cs="Times New Roman"/>
                <w:i w:val="0"/>
                <w:color w:val="auto"/>
                <w:sz w:val="24"/>
                <w:szCs w:val="24"/>
                <w:u w:val="none"/>
              </w:rPr>
            </w:pPr>
            <w:r>
              <w:rPr>
                <w:rFonts w:hint="default" w:ascii="Times New Roman" w:hAnsi="Times New Roman" w:eastAsia="方正小标宋_GBK" w:cs="Times New Roman"/>
                <w:i w:val="0"/>
                <w:color w:val="auto"/>
                <w:kern w:val="0"/>
                <w:sz w:val="24"/>
                <w:szCs w:val="24"/>
                <w:u w:val="none"/>
                <w:lang w:val="en-US" w:eastAsia="zh-CN" w:bidi="ar"/>
              </w:rPr>
              <w:t>增速</w:t>
            </w:r>
          </w:p>
        </w:tc>
        <w:tc>
          <w:tcPr>
            <w:tcW w:w="11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outlineLvl w:val="9"/>
              <w:rPr>
                <w:rFonts w:hint="default" w:ascii="Times New Roman" w:hAnsi="Times New Roman" w:eastAsia="方正小标宋_GBK" w:cs="Times New Roman"/>
                <w:b w:val="0"/>
                <w:bCs w:val="0"/>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0" w:type="dxa"/>
          <w:trHeight w:val="317" w:hRule="atLeast"/>
        </w:trPr>
        <w:tc>
          <w:tcPr>
            <w:tcW w:w="12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center"/>
              <w:outlineLvl w:val="9"/>
              <w:rPr>
                <w:rFonts w:hint="default" w:ascii="Times New Roman" w:hAnsi="Times New Roman" w:eastAsia="方正小标宋_GBK" w:cs="Times New Roman"/>
                <w:i w:val="0"/>
                <w:color w:val="auto"/>
                <w:sz w:val="22"/>
                <w:szCs w:val="22"/>
                <w:u w:val="none"/>
              </w:rPr>
            </w:pPr>
            <w:r>
              <w:rPr>
                <w:rFonts w:hint="default" w:ascii="Times New Roman" w:hAnsi="Times New Roman" w:eastAsia="方正小标宋_GBK" w:cs="Times New Roman"/>
                <w:i w:val="0"/>
                <w:color w:val="auto"/>
                <w:kern w:val="0"/>
                <w:sz w:val="22"/>
                <w:szCs w:val="22"/>
                <w:u w:val="none"/>
                <w:lang w:val="en-US" w:eastAsia="zh-CN" w:bidi="ar"/>
              </w:rPr>
              <w:t>1</w:t>
            </w:r>
          </w:p>
        </w:tc>
        <w:tc>
          <w:tcPr>
            <w:tcW w:w="47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center"/>
              <w:outlineLvl w:val="9"/>
              <w:rPr>
                <w:rFonts w:hint="default" w:ascii="Times New Roman" w:hAnsi="Times New Roman" w:eastAsia="方正小标宋_GBK" w:cs="Times New Roman"/>
                <w:i w:val="0"/>
                <w:color w:val="auto"/>
                <w:sz w:val="22"/>
                <w:szCs w:val="22"/>
                <w:u w:val="none"/>
              </w:rPr>
            </w:pPr>
            <w:r>
              <w:rPr>
                <w:rFonts w:hint="default" w:ascii="Times New Roman" w:hAnsi="Times New Roman" w:eastAsia="方正小标宋_GBK" w:cs="Times New Roman"/>
                <w:i w:val="0"/>
                <w:color w:val="auto"/>
                <w:kern w:val="0"/>
                <w:sz w:val="22"/>
                <w:szCs w:val="22"/>
                <w:u w:val="none"/>
                <w:lang w:val="en-US" w:eastAsia="zh-CN" w:bidi="ar"/>
              </w:rPr>
              <w:t>地区生产总值</w:t>
            </w:r>
          </w:p>
        </w:tc>
        <w:tc>
          <w:tcPr>
            <w:tcW w:w="2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center"/>
              <w:outlineLvl w:val="9"/>
              <w:rPr>
                <w:rFonts w:hint="default" w:ascii="Times New Roman" w:hAnsi="Times New Roman" w:eastAsia="方正小标宋_GBK" w:cs="Times New Roman"/>
                <w:i w:val="0"/>
                <w:color w:val="auto"/>
                <w:sz w:val="22"/>
                <w:szCs w:val="22"/>
                <w:u w:val="none"/>
              </w:rPr>
            </w:pPr>
            <w:r>
              <w:rPr>
                <w:rFonts w:hint="default" w:ascii="Times New Roman" w:hAnsi="Times New Roman" w:eastAsia="方正小标宋_GBK" w:cs="Times New Roman"/>
                <w:i w:val="0"/>
                <w:color w:val="auto"/>
                <w:kern w:val="0"/>
                <w:sz w:val="22"/>
                <w:szCs w:val="22"/>
                <w:u w:val="none"/>
                <w:lang w:val="en-US" w:eastAsia="zh-CN" w:bidi="ar"/>
              </w:rPr>
              <w:t>亿元，%</w:t>
            </w:r>
          </w:p>
        </w:tc>
        <w:tc>
          <w:tcPr>
            <w:tcW w:w="21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center"/>
              <w:outlineLvl w:val="9"/>
              <w:rPr>
                <w:rFonts w:hint="eastAsia" w:ascii="方正小标宋_GBK" w:hAnsi="方正小标宋_GBK" w:eastAsia="方正小标宋_GBK" w:cs="方正小标宋_GBK"/>
                <w:i w:val="0"/>
                <w:color w:val="auto"/>
                <w:sz w:val="22"/>
                <w:szCs w:val="22"/>
                <w:u w:val="none"/>
              </w:rPr>
            </w:pPr>
            <w:r>
              <w:rPr>
                <w:rFonts w:hint="eastAsia" w:ascii="方正小标宋_GBK" w:hAnsi="方正小标宋_GBK" w:eastAsia="方正小标宋_GBK" w:cs="方正小标宋_GBK"/>
                <w:i w:val="0"/>
                <w:color w:val="auto"/>
                <w:kern w:val="0"/>
                <w:sz w:val="22"/>
                <w:szCs w:val="22"/>
                <w:u w:val="none"/>
                <w:lang w:val="en-US" w:eastAsia="zh-CN" w:bidi="ar"/>
              </w:rPr>
              <w:t>193</w:t>
            </w:r>
          </w:p>
        </w:tc>
        <w:tc>
          <w:tcPr>
            <w:tcW w:w="21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center"/>
              <w:outlineLvl w:val="9"/>
              <w:rPr>
                <w:rFonts w:hint="eastAsia" w:ascii="方正小标宋_GBK" w:hAnsi="方正小标宋_GBK" w:eastAsia="方正小标宋_GBK" w:cs="方正小标宋_GBK"/>
                <w:i w:val="0"/>
                <w:color w:val="auto"/>
                <w:sz w:val="22"/>
                <w:szCs w:val="22"/>
                <w:u w:val="none"/>
                <w:lang w:val="en-US" w:eastAsia="zh-CN"/>
              </w:rPr>
            </w:pPr>
            <w:r>
              <w:rPr>
                <w:rFonts w:hint="eastAsia" w:ascii="方正小标宋_GBK" w:hAnsi="方正小标宋_GBK" w:eastAsia="方正小标宋_GBK" w:cs="方正小标宋_GBK"/>
                <w:i w:val="0"/>
                <w:color w:val="auto"/>
                <w:sz w:val="22"/>
                <w:szCs w:val="22"/>
                <w:u w:val="none"/>
                <w:lang w:val="en-US" w:eastAsia="zh-CN"/>
              </w:rPr>
              <w:t>8</w:t>
            </w:r>
          </w:p>
        </w:tc>
        <w:tc>
          <w:tcPr>
            <w:tcW w:w="1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bl>
            <w:tblPr>
              <w:tblStyle w:val="18"/>
              <w:tblW w:w="1126"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2" w:hRule="atLeast"/>
              </w:trPr>
              <w:tc>
                <w:tcPr>
                  <w:tcW w:w="11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outlineLvl w:val="9"/>
                    <w:rPr>
                      <w:rFonts w:hint="default" w:ascii="Times New Roman" w:hAnsi="Times New Roman" w:eastAsia="方正小标宋_GBK" w:cs="Times New Roman"/>
                      <w:b w:val="0"/>
                      <w:bCs w:val="0"/>
                      <w:i w:val="0"/>
                      <w:color w:val="auto"/>
                      <w:sz w:val="22"/>
                      <w:szCs w:val="22"/>
                      <w:u w:val="none"/>
                    </w:rPr>
                  </w:pPr>
                </w:p>
              </w:tc>
            </w:tr>
          </w:tbl>
          <w:p>
            <w:pPr>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default" w:ascii="Times New Roman" w:hAnsi="Times New Roman" w:eastAsia="方正小标宋_GBK" w:cs="Times New Roman"/>
                <w:b w:val="0"/>
                <w:bCs w:val="0"/>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0" w:type="dxa"/>
          <w:trHeight w:val="327" w:hRule="atLeast"/>
        </w:trPr>
        <w:tc>
          <w:tcPr>
            <w:tcW w:w="12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center"/>
              <w:outlineLvl w:val="9"/>
              <w:rPr>
                <w:rFonts w:hint="default" w:ascii="Times New Roman" w:hAnsi="Times New Roman" w:eastAsia="方正小标宋_GBK" w:cs="Times New Roman"/>
                <w:i w:val="0"/>
                <w:color w:val="auto"/>
                <w:sz w:val="22"/>
                <w:szCs w:val="22"/>
                <w:u w:val="none"/>
              </w:rPr>
            </w:pPr>
            <w:r>
              <w:rPr>
                <w:rFonts w:hint="default" w:ascii="Times New Roman" w:hAnsi="Times New Roman" w:eastAsia="方正小标宋_GBK" w:cs="Times New Roman"/>
                <w:i w:val="0"/>
                <w:color w:val="auto"/>
                <w:kern w:val="0"/>
                <w:sz w:val="22"/>
                <w:szCs w:val="22"/>
                <w:u w:val="none"/>
                <w:lang w:val="en-US" w:eastAsia="zh-CN" w:bidi="ar"/>
              </w:rPr>
              <w:t>2</w:t>
            </w:r>
          </w:p>
        </w:tc>
        <w:tc>
          <w:tcPr>
            <w:tcW w:w="47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center"/>
              <w:outlineLvl w:val="9"/>
              <w:rPr>
                <w:rFonts w:hint="default" w:ascii="Times New Roman" w:hAnsi="Times New Roman" w:eastAsia="方正小标宋_GBK" w:cs="Times New Roman"/>
                <w:i w:val="0"/>
                <w:color w:val="auto"/>
                <w:sz w:val="22"/>
                <w:szCs w:val="22"/>
                <w:u w:val="none"/>
              </w:rPr>
            </w:pPr>
            <w:r>
              <w:rPr>
                <w:rFonts w:hint="default" w:ascii="Times New Roman" w:hAnsi="Times New Roman" w:eastAsia="方正小标宋_GBK" w:cs="Times New Roman"/>
                <w:i w:val="0"/>
                <w:color w:val="auto"/>
                <w:kern w:val="0"/>
                <w:sz w:val="22"/>
                <w:szCs w:val="22"/>
                <w:u w:val="none"/>
                <w:lang w:val="en-US" w:eastAsia="zh-CN" w:bidi="ar"/>
              </w:rPr>
              <w:t>固定资产投资</w:t>
            </w:r>
          </w:p>
        </w:tc>
        <w:tc>
          <w:tcPr>
            <w:tcW w:w="2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center"/>
              <w:outlineLvl w:val="9"/>
              <w:rPr>
                <w:rFonts w:hint="default" w:ascii="Times New Roman" w:hAnsi="Times New Roman" w:eastAsia="方正小标宋_GBK" w:cs="Times New Roman"/>
                <w:i w:val="0"/>
                <w:color w:val="auto"/>
                <w:sz w:val="22"/>
                <w:szCs w:val="22"/>
                <w:u w:val="none"/>
              </w:rPr>
            </w:pPr>
            <w:r>
              <w:rPr>
                <w:rFonts w:hint="default" w:ascii="Times New Roman" w:hAnsi="Times New Roman" w:eastAsia="方正小标宋_GBK" w:cs="Times New Roman"/>
                <w:i w:val="0"/>
                <w:color w:val="auto"/>
                <w:kern w:val="0"/>
                <w:sz w:val="22"/>
                <w:szCs w:val="22"/>
                <w:u w:val="none"/>
                <w:lang w:val="en-US" w:eastAsia="zh-CN" w:bidi="ar"/>
              </w:rPr>
              <w:t>亿元，%</w:t>
            </w:r>
          </w:p>
        </w:tc>
        <w:tc>
          <w:tcPr>
            <w:tcW w:w="21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center"/>
              <w:outlineLvl w:val="9"/>
              <w:rPr>
                <w:rFonts w:hint="eastAsia" w:ascii="方正小标宋_GBK" w:hAnsi="方正小标宋_GBK" w:eastAsia="方正小标宋_GBK" w:cs="方正小标宋_GBK"/>
                <w:i w:val="0"/>
                <w:color w:val="auto"/>
                <w:sz w:val="22"/>
                <w:szCs w:val="22"/>
                <w:u w:val="none"/>
              </w:rPr>
            </w:pPr>
            <w:r>
              <w:rPr>
                <w:rFonts w:hint="eastAsia" w:ascii="方正小标宋_GBK" w:hAnsi="方正小标宋_GBK" w:eastAsia="方正小标宋_GBK" w:cs="方正小标宋_GBK"/>
                <w:i w:val="0"/>
                <w:color w:val="auto"/>
                <w:kern w:val="0"/>
                <w:sz w:val="22"/>
                <w:szCs w:val="22"/>
                <w:u w:val="none"/>
                <w:lang w:val="en-US" w:eastAsia="zh-CN" w:bidi="ar"/>
              </w:rPr>
              <w:t>125.5</w:t>
            </w:r>
          </w:p>
        </w:tc>
        <w:tc>
          <w:tcPr>
            <w:tcW w:w="21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center"/>
              <w:outlineLvl w:val="9"/>
              <w:rPr>
                <w:rFonts w:hint="eastAsia" w:ascii="方正小标宋_GBK" w:hAnsi="方正小标宋_GBK" w:eastAsia="方正小标宋_GBK" w:cs="方正小标宋_GBK"/>
                <w:i w:val="0"/>
                <w:color w:val="auto"/>
                <w:sz w:val="22"/>
                <w:szCs w:val="22"/>
                <w:u w:val="none"/>
                <w:lang w:val="en-US" w:eastAsia="zh-CN"/>
              </w:rPr>
            </w:pPr>
            <w:r>
              <w:rPr>
                <w:rFonts w:hint="eastAsia" w:ascii="方正小标宋_GBK" w:hAnsi="方正小标宋_GBK" w:eastAsia="方正小标宋_GBK" w:cs="方正小标宋_GBK"/>
                <w:i w:val="0"/>
                <w:color w:val="auto"/>
                <w:sz w:val="22"/>
                <w:szCs w:val="22"/>
                <w:u w:val="none"/>
                <w:lang w:val="en-US" w:eastAsia="zh-CN"/>
              </w:rPr>
              <w:t>10</w:t>
            </w:r>
          </w:p>
        </w:tc>
        <w:tc>
          <w:tcPr>
            <w:tcW w:w="1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bl>
            <w:tblPr>
              <w:tblStyle w:val="18"/>
              <w:tblW w:w="1141"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2" w:hRule="atLeast"/>
              </w:trPr>
              <w:tc>
                <w:tcPr>
                  <w:tcW w:w="11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outlineLvl w:val="9"/>
                    <w:rPr>
                      <w:rFonts w:hint="default" w:ascii="Times New Roman" w:hAnsi="Times New Roman" w:eastAsia="方正小标宋_GBK" w:cs="Times New Roman"/>
                      <w:b w:val="0"/>
                      <w:bCs w:val="0"/>
                      <w:i w:val="0"/>
                      <w:color w:val="auto"/>
                      <w:sz w:val="22"/>
                      <w:szCs w:val="22"/>
                      <w:u w:val="none"/>
                    </w:rPr>
                  </w:pPr>
                </w:p>
              </w:tc>
            </w:tr>
          </w:tbl>
          <w:p>
            <w:pPr>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default" w:ascii="Times New Roman" w:hAnsi="Times New Roman" w:eastAsia="方正小标宋_GBK" w:cs="Times New Roman"/>
                <w:b w:val="0"/>
                <w:bCs w:val="0"/>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0" w:type="dxa"/>
          <w:trHeight w:val="277" w:hRule="atLeast"/>
        </w:trPr>
        <w:tc>
          <w:tcPr>
            <w:tcW w:w="12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center"/>
              <w:outlineLvl w:val="9"/>
              <w:rPr>
                <w:rFonts w:hint="default" w:ascii="Times New Roman" w:hAnsi="Times New Roman" w:eastAsia="方正小标宋_GBK" w:cs="Times New Roman"/>
                <w:i w:val="0"/>
                <w:color w:val="auto"/>
                <w:sz w:val="22"/>
                <w:szCs w:val="22"/>
                <w:u w:val="none"/>
              </w:rPr>
            </w:pPr>
            <w:r>
              <w:rPr>
                <w:rFonts w:hint="default" w:ascii="Times New Roman" w:hAnsi="Times New Roman" w:eastAsia="方正小标宋_GBK" w:cs="Times New Roman"/>
                <w:i w:val="0"/>
                <w:color w:val="auto"/>
                <w:kern w:val="0"/>
                <w:sz w:val="22"/>
                <w:szCs w:val="22"/>
                <w:u w:val="none"/>
                <w:lang w:val="en-US" w:eastAsia="zh-CN" w:bidi="ar"/>
              </w:rPr>
              <w:t>3</w:t>
            </w:r>
          </w:p>
        </w:tc>
        <w:tc>
          <w:tcPr>
            <w:tcW w:w="47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center"/>
              <w:outlineLvl w:val="9"/>
              <w:rPr>
                <w:rFonts w:hint="default" w:ascii="Times New Roman" w:hAnsi="Times New Roman" w:eastAsia="方正小标宋_GBK" w:cs="Times New Roman"/>
                <w:i w:val="0"/>
                <w:color w:val="auto"/>
                <w:sz w:val="22"/>
                <w:szCs w:val="22"/>
                <w:u w:val="none"/>
              </w:rPr>
            </w:pPr>
            <w:r>
              <w:rPr>
                <w:rFonts w:hint="default" w:ascii="Times New Roman" w:hAnsi="Times New Roman" w:eastAsia="方正小标宋_GBK" w:cs="Times New Roman"/>
                <w:i w:val="0"/>
                <w:color w:val="auto"/>
                <w:kern w:val="0"/>
                <w:sz w:val="22"/>
                <w:szCs w:val="22"/>
                <w:u w:val="none"/>
                <w:lang w:val="en-US" w:eastAsia="zh-CN" w:bidi="ar"/>
              </w:rPr>
              <w:t>规模以上工业增加值</w:t>
            </w:r>
          </w:p>
        </w:tc>
        <w:tc>
          <w:tcPr>
            <w:tcW w:w="2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center"/>
              <w:outlineLvl w:val="9"/>
              <w:rPr>
                <w:rFonts w:hint="default" w:ascii="Times New Roman" w:hAnsi="Times New Roman" w:eastAsia="方正小标宋_GBK" w:cs="Times New Roman"/>
                <w:i w:val="0"/>
                <w:color w:val="auto"/>
                <w:sz w:val="22"/>
                <w:szCs w:val="22"/>
                <w:u w:val="none"/>
              </w:rPr>
            </w:pPr>
            <w:r>
              <w:rPr>
                <w:rFonts w:hint="default" w:ascii="Times New Roman" w:hAnsi="Times New Roman" w:eastAsia="方正小标宋_GBK" w:cs="Times New Roman"/>
                <w:i w:val="0"/>
                <w:color w:val="auto"/>
                <w:kern w:val="0"/>
                <w:sz w:val="22"/>
                <w:szCs w:val="22"/>
                <w:u w:val="none"/>
                <w:lang w:val="en-US" w:eastAsia="zh-CN" w:bidi="ar"/>
              </w:rPr>
              <w:t>%</w:t>
            </w:r>
          </w:p>
        </w:tc>
        <w:tc>
          <w:tcPr>
            <w:tcW w:w="21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center"/>
              <w:outlineLvl w:val="9"/>
              <w:rPr>
                <w:rFonts w:hint="eastAsia" w:ascii="方正小标宋_GBK" w:hAnsi="方正小标宋_GBK" w:eastAsia="方正小标宋_GBK" w:cs="方正小标宋_GBK"/>
                <w:i w:val="0"/>
                <w:color w:val="auto"/>
                <w:sz w:val="22"/>
                <w:szCs w:val="22"/>
                <w:u w:val="none"/>
              </w:rPr>
            </w:pPr>
            <w:r>
              <w:rPr>
                <w:rFonts w:hint="eastAsia" w:ascii="方正小标宋_GBK" w:hAnsi="方正小标宋_GBK" w:eastAsia="方正小标宋_GBK" w:cs="方正小标宋_GBK"/>
                <w:i w:val="0"/>
                <w:color w:val="auto"/>
                <w:kern w:val="0"/>
                <w:sz w:val="22"/>
                <w:szCs w:val="22"/>
                <w:u w:val="none"/>
                <w:lang w:val="en-US" w:eastAsia="zh-CN" w:bidi="ar"/>
              </w:rPr>
              <w:t>－</w:t>
            </w:r>
          </w:p>
        </w:tc>
        <w:tc>
          <w:tcPr>
            <w:tcW w:w="21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center"/>
              <w:outlineLvl w:val="9"/>
              <w:rPr>
                <w:rFonts w:hint="eastAsia" w:ascii="方正小标宋_GBK" w:hAnsi="方正小标宋_GBK" w:eastAsia="方正小标宋_GBK" w:cs="方正小标宋_GBK"/>
                <w:i w:val="0"/>
                <w:color w:val="auto"/>
                <w:sz w:val="22"/>
                <w:szCs w:val="22"/>
                <w:u w:val="none"/>
                <w:lang w:val="en-US" w:eastAsia="zh-CN"/>
              </w:rPr>
            </w:pPr>
            <w:r>
              <w:rPr>
                <w:rFonts w:hint="eastAsia" w:ascii="方正小标宋_GBK" w:hAnsi="方正小标宋_GBK" w:eastAsia="方正小标宋_GBK" w:cs="方正小标宋_GBK"/>
                <w:i w:val="0"/>
                <w:color w:val="auto"/>
                <w:sz w:val="22"/>
                <w:szCs w:val="22"/>
                <w:u w:val="none"/>
                <w:lang w:val="en-US" w:eastAsia="zh-CN"/>
              </w:rPr>
              <w:t>14</w:t>
            </w:r>
          </w:p>
        </w:tc>
        <w:tc>
          <w:tcPr>
            <w:tcW w:w="1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bl>
            <w:tblPr>
              <w:tblStyle w:val="18"/>
              <w:tblW w:w="1156"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2" w:hRule="atLeast"/>
              </w:trPr>
              <w:tc>
                <w:tcPr>
                  <w:tcW w:w="115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outlineLvl w:val="9"/>
                    <w:rPr>
                      <w:rFonts w:hint="default" w:ascii="Times New Roman" w:hAnsi="Times New Roman" w:eastAsia="方正小标宋_GBK" w:cs="Times New Roman"/>
                      <w:b w:val="0"/>
                      <w:bCs w:val="0"/>
                      <w:i w:val="0"/>
                      <w:color w:val="auto"/>
                      <w:sz w:val="22"/>
                      <w:szCs w:val="22"/>
                      <w:u w:val="none"/>
                    </w:rPr>
                  </w:pPr>
                </w:p>
              </w:tc>
            </w:tr>
          </w:tbl>
          <w:p>
            <w:pPr>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default" w:ascii="Times New Roman" w:hAnsi="Times New Roman" w:eastAsia="方正小标宋_GBK" w:cs="Times New Roman"/>
                <w:b w:val="0"/>
                <w:bCs w:val="0"/>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0" w:type="dxa"/>
          <w:trHeight w:val="252" w:hRule="atLeast"/>
        </w:trPr>
        <w:tc>
          <w:tcPr>
            <w:tcW w:w="12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center"/>
              <w:outlineLvl w:val="9"/>
              <w:rPr>
                <w:rFonts w:hint="default" w:ascii="Times New Roman" w:hAnsi="Times New Roman" w:eastAsia="方正小标宋_GBK" w:cs="Times New Roman"/>
                <w:i w:val="0"/>
                <w:color w:val="auto"/>
                <w:sz w:val="22"/>
                <w:szCs w:val="22"/>
                <w:u w:val="none"/>
              </w:rPr>
            </w:pPr>
            <w:r>
              <w:rPr>
                <w:rFonts w:hint="default" w:ascii="Times New Roman" w:hAnsi="Times New Roman" w:eastAsia="方正小标宋_GBK" w:cs="Times New Roman"/>
                <w:i w:val="0"/>
                <w:color w:val="auto"/>
                <w:kern w:val="0"/>
                <w:sz w:val="22"/>
                <w:szCs w:val="22"/>
                <w:u w:val="none"/>
                <w:lang w:val="en-US" w:eastAsia="zh-CN" w:bidi="ar"/>
              </w:rPr>
              <w:t>4</w:t>
            </w:r>
          </w:p>
        </w:tc>
        <w:tc>
          <w:tcPr>
            <w:tcW w:w="47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center"/>
              <w:outlineLvl w:val="9"/>
              <w:rPr>
                <w:rFonts w:hint="default" w:ascii="Times New Roman" w:hAnsi="Times New Roman" w:eastAsia="方正小标宋_GBK" w:cs="Times New Roman"/>
                <w:i w:val="0"/>
                <w:color w:val="auto"/>
                <w:sz w:val="22"/>
                <w:szCs w:val="22"/>
                <w:u w:val="none"/>
              </w:rPr>
            </w:pPr>
            <w:r>
              <w:rPr>
                <w:rFonts w:hint="default" w:ascii="Times New Roman" w:hAnsi="Times New Roman" w:eastAsia="方正小标宋_GBK" w:cs="Times New Roman"/>
                <w:i w:val="0"/>
                <w:color w:val="auto"/>
                <w:kern w:val="0"/>
                <w:sz w:val="22"/>
                <w:szCs w:val="22"/>
                <w:u w:val="none"/>
                <w:lang w:val="en-US" w:eastAsia="zh-CN" w:bidi="ar"/>
              </w:rPr>
              <w:t>地方一般公共预算收入</w:t>
            </w:r>
          </w:p>
        </w:tc>
        <w:tc>
          <w:tcPr>
            <w:tcW w:w="2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center"/>
              <w:outlineLvl w:val="9"/>
              <w:rPr>
                <w:rFonts w:hint="default" w:ascii="Times New Roman" w:hAnsi="Times New Roman" w:eastAsia="方正小标宋_GBK" w:cs="Times New Roman"/>
                <w:i w:val="0"/>
                <w:color w:val="auto"/>
                <w:sz w:val="22"/>
                <w:szCs w:val="22"/>
                <w:u w:val="none"/>
              </w:rPr>
            </w:pPr>
            <w:r>
              <w:rPr>
                <w:rFonts w:hint="default" w:ascii="Times New Roman" w:hAnsi="Times New Roman" w:eastAsia="方正小标宋_GBK" w:cs="Times New Roman"/>
                <w:i w:val="0"/>
                <w:color w:val="auto"/>
                <w:kern w:val="0"/>
                <w:sz w:val="22"/>
                <w:szCs w:val="22"/>
                <w:u w:val="none"/>
                <w:lang w:val="en-US" w:eastAsia="zh-CN" w:bidi="ar"/>
              </w:rPr>
              <w:t>亿元，%</w:t>
            </w:r>
          </w:p>
        </w:tc>
        <w:tc>
          <w:tcPr>
            <w:tcW w:w="21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center"/>
              <w:outlineLvl w:val="9"/>
              <w:rPr>
                <w:rFonts w:hint="eastAsia" w:ascii="方正小标宋_GBK" w:hAnsi="方正小标宋_GBK" w:eastAsia="方正小标宋_GBK" w:cs="方正小标宋_GBK"/>
                <w:i w:val="0"/>
                <w:color w:val="auto"/>
                <w:sz w:val="22"/>
                <w:szCs w:val="22"/>
                <w:u w:val="none"/>
              </w:rPr>
            </w:pPr>
            <w:r>
              <w:rPr>
                <w:rFonts w:hint="eastAsia" w:ascii="方正小标宋_GBK" w:hAnsi="方正小标宋_GBK" w:eastAsia="方正小标宋_GBK" w:cs="方正小标宋_GBK"/>
                <w:i w:val="0"/>
                <w:color w:val="auto"/>
                <w:kern w:val="0"/>
                <w:sz w:val="22"/>
                <w:szCs w:val="22"/>
                <w:u w:val="none"/>
                <w:lang w:val="en-US" w:eastAsia="zh-CN" w:bidi="ar"/>
              </w:rPr>
              <w:t>9.5</w:t>
            </w:r>
          </w:p>
        </w:tc>
        <w:tc>
          <w:tcPr>
            <w:tcW w:w="21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center"/>
              <w:outlineLvl w:val="9"/>
              <w:rPr>
                <w:rFonts w:hint="eastAsia" w:ascii="方正小标宋_GBK" w:hAnsi="方正小标宋_GBK" w:eastAsia="方正小标宋_GBK" w:cs="方正小标宋_GBK"/>
                <w:i w:val="0"/>
                <w:color w:val="auto"/>
                <w:sz w:val="22"/>
                <w:szCs w:val="22"/>
                <w:u w:val="none"/>
                <w:lang w:val="en-US" w:eastAsia="zh-CN"/>
              </w:rPr>
            </w:pPr>
            <w:r>
              <w:rPr>
                <w:rFonts w:hint="eastAsia" w:ascii="方正小标宋_GBK" w:hAnsi="方正小标宋_GBK" w:eastAsia="方正小标宋_GBK" w:cs="方正小标宋_GBK"/>
                <w:i w:val="0"/>
                <w:color w:val="auto"/>
                <w:sz w:val="22"/>
                <w:szCs w:val="22"/>
                <w:u w:val="none"/>
                <w:lang w:val="en-US" w:eastAsia="zh-CN"/>
              </w:rPr>
              <w:t>3</w:t>
            </w:r>
          </w:p>
        </w:tc>
        <w:tc>
          <w:tcPr>
            <w:tcW w:w="1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bl>
            <w:tblPr>
              <w:tblStyle w:val="18"/>
              <w:tblW w:w="1111"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2" w:hRule="atLeast"/>
              </w:trPr>
              <w:tc>
                <w:tcPr>
                  <w:tcW w:w="111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outlineLvl w:val="9"/>
                    <w:rPr>
                      <w:rFonts w:hint="default" w:ascii="Times New Roman" w:hAnsi="Times New Roman" w:eastAsia="方正小标宋_GBK" w:cs="Times New Roman"/>
                      <w:b w:val="0"/>
                      <w:bCs w:val="0"/>
                      <w:i w:val="0"/>
                      <w:color w:val="auto"/>
                      <w:sz w:val="22"/>
                      <w:szCs w:val="22"/>
                      <w:u w:val="none"/>
                    </w:rPr>
                  </w:pPr>
                </w:p>
              </w:tc>
            </w:tr>
          </w:tbl>
          <w:p>
            <w:pPr>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default" w:ascii="Times New Roman" w:hAnsi="Times New Roman" w:eastAsia="方正小标宋_GBK" w:cs="Times New Roman"/>
                <w:b w:val="0"/>
                <w:bCs w:val="0"/>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0" w:type="dxa"/>
          <w:trHeight w:val="277" w:hRule="atLeast"/>
        </w:trPr>
        <w:tc>
          <w:tcPr>
            <w:tcW w:w="12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center"/>
              <w:outlineLvl w:val="9"/>
              <w:rPr>
                <w:rFonts w:hint="default" w:ascii="Times New Roman" w:hAnsi="Times New Roman" w:eastAsia="方正小标宋_GBK" w:cs="Times New Roman"/>
                <w:i w:val="0"/>
                <w:color w:val="auto"/>
                <w:sz w:val="22"/>
                <w:szCs w:val="22"/>
                <w:u w:val="none"/>
              </w:rPr>
            </w:pPr>
            <w:r>
              <w:rPr>
                <w:rFonts w:hint="default" w:ascii="Times New Roman" w:hAnsi="Times New Roman" w:eastAsia="方正小标宋_GBK" w:cs="Times New Roman"/>
                <w:i w:val="0"/>
                <w:color w:val="auto"/>
                <w:kern w:val="0"/>
                <w:sz w:val="22"/>
                <w:szCs w:val="22"/>
                <w:u w:val="none"/>
                <w:lang w:val="en-US" w:eastAsia="zh-CN" w:bidi="ar"/>
              </w:rPr>
              <w:t>5</w:t>
            </w:r>
          </w:p>
        </w:tc>
        <w:tc>
          <w:tcPr>
            <w:tcW w:w="47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center"/>
              <w:outlineLvl w:val="9"/>
              <w:rPr>
                <w:rFonts w:hint="default" w:ascii="Times New Roman" w:hAnsi="Times New Roman" w:eastAsia="方正小标宋_GBK" w:cs="Times New Roman"/>
                <w:i w:val="0"/>
                <w:color w:val="auto"/>
                <w:sz w:val="22"/>
                <w:szCs w:val="22"/>
                <w:u w:val="none"/>
              </w:rPr>
            </w:pPr>
            <w:r>
              <w:rPr>
                <w:rFonts w:hint="default" w:ascii="Times New Roman" w:hAnsi="Times New Roman" w:eastAsia="方正小标宋_GBK" w:cs="Times New Roman"/>
                <w:i w:val="0"/>
                <w:color w:val="auto"/>
                <w:kern w:val="0"/>
                <w:sz w:val="22"/>
                <w:szCs w:val="22"/>
                <w:u w:val="none"/>
                <w:lang w:val="en-US" w:eastAsia="zh-CN" w:bidi="ar"/>
              </w:rPr>
              <w:t>地方一般公共预算支出</w:t>
            </w:r>
          </w:p>
        </w:tc>
        <w:tc>
          <w:tcPr>
            <w:tcW w:w="2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center"/>
              <w:outlineLvl w:val="9"/>
              <w:rPr>
                <w:rFonts w:hint="default" w:ascii="Times New Roman" w:hAnsi="Times New Roman" w:eastAsia="方正小标宋_GBK" w:cs="Times New Roman"/>
                <w:i w:val="0"/>
                <w:color w:val="auto"/>
                <w:sz w:val="22"/>
                <w:szCs w:val="22"/>
                <w:u w:val="none"/>
              </w:rPr>
            </w:pPr>
            <w:r>
              <w:rPr>
                <w:rFonts w:hint="default" w:ascii="Times New Roman" w:hAnsi="Times New Roman" w:eastAsia="方正小标宋_GBK" w:cs="Times New Roman"/>
                <w:i w:val="0"/>
                <w:color w:val="auto"/>
                <w:kern w:val="0"/>
                <w:sz w:val="22"/>
                <w:szCs w:val="22"/>
                <w:u w:val="none"/>
                <w:lang w:val="en-US" w:eastAsia="zh-CN" w:bidi="ar"/>
              </w:rPr>
              <w:t>亿元，%</w:t>
            </w:r>
          </w:p>
        </w:tc>
        <w:tc>
          <w:tcPr>
            <w:tcW w:w="21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center"/>
              <w:outlineLvl w:val="9"/>
              <w:rPr>
                <w:rFonts w:hint="eastAsia" w:ascii="方正小标宋_GBK" w:hAnsi="方正小标宋_GBK" w:eastAsia="方正小标宋_GBK" w:cs="方正小标宋_GBK"/>
                <w:i w:val="0"/>
                <w:color w:val="auto"/>
                <w:sz w:val="22"/>
                <w:szCs w:val="22"/>
                <w:u w:val="none"/>
              </w:rPr>
            </w:pPr>
            <w:r>
              <w:rPr>
                <w:rFonts w:hint="eastAsia" w:ascii="方正小标宋_GBK" w:hAnsi="方正小标宋_GBK" w:eastAsia="方正小标宋_GBK" w:cs="方正小标宋_GBK"/>
                <w:i w:val="0"/>
                <w:color w:val="auto"/>
                <w:kern w:val="0"/>
                <w:sz w:val="22"/>
                <w:szCs w:val="22"/>
                <w:u w:val="none"/>
                <w:lang w:val="en-US" w:eastAsia="zh-CN" w:bidi="ar"/>
              </w:rPr>
              <w:t>31.05</w:t>
            </w:r>
          </w:p>
        </w:tc>
        <w:tc>
          <w:tcPr>
            <w:tcW w:w="21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center"/>
              <w:outlineLvl w:val="9"/>
              <w:rPr>
                <w:rFonts w:hint="eastAsia" w:ascii="方正小标宋_GBK" w:hAnsi="方正小标宋_GBK" w:eastAsia="方正小标宋_GBK" w:cs="方正小标宋_GBK"/>
                <w:i w:val="0"/>
                <w:color w:val="auto"/>
                <w:sz w:val="22"/>
                <w:szCs w:val="22"/>
                <w:u w:val="none"/>
                <w:lang w:val="en-US" w:eastAsia="zh-CN"/>
              </w:rPr>
            </w:pPr>
            <w:r>
              <w:rPr>
                <w:rFonts w:hint="eastAsia" w:ascii="方正小标宋_GBK" w:hAnsi="方正小标宋_GBK" w:eastAsia="方正小标宋_GBK" w:cs="方正小标宋_GBK"/>
                <w:i w:val="0"/>
                <w:color w:val="auto"/>
                <w:sz w:val="22"/>
                <w:szCs w:val="22"/>
                <w:u w:val="none"/>
                <w:lang w:val="en-US" w:eastAsia="zh-CN"/>
              </w:rPr>
              <w:t>11</w:t>
            </w:r>
          </w:p>
        </w:tc>
        <w:tc>
          <w:tcPr>
            <w:tcW w:w="1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bl>
            <w:tblPr>
              <w:tblStyle w:val="18"/>
              <w:tblW w:w="1126"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2" w:hRule="atLeast"/>
              </w:trPr>
              <w:tc>
                <w:tcPr>
                  <w:tcW w:w="11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outlineLvl w:val="9"/>
                    <w:rPr>
                      <w:rFonts w:hint="default" w:ascii="Times New Roman" w:hAnsi="Times New Roman" w:eastAsia="方正小标宋_GBK" w:cs="Times New Roman"/>
                      <w:b w:val="0"/>
                      <w:bCs w:val="0"/>
                      <w:i w:val="0"/>
                      <w:color w:val="auto"/>
                      <w:sz w:val="22"/>
                      <w:szCs w:val="22"/>
                      <w:u w:val="none"/>
                    </w:rPr>
                  </w:pPr>
                </w:p>
              </w:tc>
            </w:tr>
          </w:tbl>
          <w:p>
            <w:pPr>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default" w:ascii="Times New Roman" w:hAnsi="Times New Roman" w:eastAsia="方正小标宋_GBK" w:cs="Times New Roman"/>
                <w:b w:val="0"/>
                <w:bCs w:val="0"/>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0" w:type="dxa"/>
          <w:trHeight w:val="322" w:hRule="atLeast"/>
        </w:trPr>
        <w:tc>
          <w:tcPr>
            <w:tcW w:w="12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center"/>
              <w:outlineLvl w:val="9"/>
              <w:rPr>
                <w:rFonts w:hint="default" w:ascii="Times New Roman" w:hAnsi="Times New Roman" w:eastAsia="方正小标宋_GBK" w:cs="Times New Roman"/>
                <w:i w:val="0"/>
                <w:color w:val="auto"/>
                <w:sz w:val="22"/>
                <w:szCs w:val="22"/>
                <w:u w:val="none"/>
              </w:rPr>
            </w:pPr>
            <w:r>
              <w:rPr>
                <w:rFonts w:hint="default" w:ascii="Times New Roman" w:hAnsi="Times New Roman" w:eastAsia="方正小标宋_GBK" w:cs="Times New Roman"/>
                <w:i w:val="0"/>
                <w:color w:val="auto"/>
                <w:kern w:val="0"/>
                <w:sz w:val="22"/>
                <w:szCs w:val="22"/>
                <w:u w:val="none"/>
                <w:lang w:val="en-US" w:eastAsia="zh-CN" w:bidi="ar"/>
              </w:rPr>
              <w:t>6</w:t>
            </w:r>
          </w:p>
        </w:tc>
        <w:tc>
          <w:tcPr>
            <w:tcW w:w="47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center"/>
              <w:outlineLvl w:val="9"/>
              <w:rPr>
                <w:rFonts w:hint="default" w:ascii="Times New Roman" w:hAnsi="Times New Roman" w:eastAsia="方正小标宋_GBK" w:cs="Times New Roman"/>
                <w:i w:val="0"/>
                <w:color w:val="auto"/>
                <w:sz w:val="22"/>
                <w:szCs w:val="22"/>
                <w:u w:val="none"/>
              </w:rPr>
            </w:pPr>
            <w:r>
              <w:rPr>
                <w:rFonts w:hint="default" w:ascii="Times New Roman" w:hAnsi="Times New Roman" w:eastAsia="方正小标宋_GBK" w:cs="Times New Roman"/>
                <w:i w:val="0"/>
                <w:color w:val="auto"/>
                <w:kern w:val="0"/>
                <w:sz w:val="22"/>
                <w:szCs w:val="22"/>
                <w:u w:val="none"/>
                <w:lang w:val="en-US" w:eastAsia="zh-CN" w:bidi="ar"/>
              </w:rPr>
              <w:t>社会消费品零售总额</w:t>
            </w:r>
          </w:p>
        </w:tc>
        <w:tc>
          <w:tcPr>
            <w:tcW w:w="2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center"/>
              <w:outlineLvl w:val="9"/>
              <w:rPr>
                <w:rFonts w:hint="default" w:ascii="Times New Roman" w:hAnsi="Times New Roman" w:eastAsia="方正小标宋_GBK" w:cs="Times New Roman"/>
                <w:i w:val="0"/>
                <w:color w:val="auto"/>
                <w:sz w:val="22"/>
                <w:szCs w:val="22"/>
                <w:u w:val="none"/>
              </w:rPr>
            </w:pPr>
            <w:r>
              <w:rPr>
                <w:rFonts w:hint="default" w:ascii="Times New Roman" w:hAnsi="Times New Roman" w:eastAsia="方正小标宋_GBK" w:cs="Times New Roman"/>
                <w:i w:val="0"/>
                <w:color w:val="auto"/>
                <w:kern w:val="0"/>
                <w:sz w:val="22"/>
                <w:szCs w:val="22"/>
                <w:u w:val="none"/>
                <w:lang w:val="en-US" w:eastAsia="zh-CN" w:bidi="ar"/>
              </w:rPr>
              <w:t>亿元，%</w:t>
            </w:r>
          </w:p>
        </w:tc>
        <w:tc>
          <w:tcPr>
            <w:tcW w:w="21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center"/>
              <w:outlineLvl w:val="9"/>
              <w:rPr>
                <w:rFonts w:hint="eastAsia" w:ascii="方正小标宋_GBK" w:hAnsi="方正小标宋_GBK" w:eastAsia="方正小标宋_GBK" w:cs="方正小标宋_GBK"/>
                <w:i w:val="0"/>
                <w:color w:val="auto"/>
                <w:sz w:val="22"/>
                <w:szCs w:val="22"/>
                <w:u w:val="none"/>
              </w:rPr>
            </w:pPr>
            <w:r>
              <w:rPr>
                <w:rFonts w:hint="eastAsia" w:ascii="方正小标宋_GBK" w:hAnsi="方正小标宋_GBK" w:eastAsia="方正小标宋_GBK" w:cs="方正小标宋_GBK"/>
                <w:i w:val="0"/>
                <w:color w:val="auto"/>
                <w:kern w:val="0"/>
                <w:sz w:val="22"/>
                <w:szCs w:val="22"/>
                <w:u w:val="none"/>
                <w:lang w:val="en-US" w:eastAsia="zh-CN" w:bidi="ar"/>
              </w:rPr>
              <w:t>117.3</w:t>
            </w:r>
          </w:p>
        </w:tc>
        <w:tc>
          <w:tcPr>
            <w:tcW w:w="21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center"/>
              <w:outlineLvl w:val="9"/>
              <w:rPr>
                <w:rFonts w:hint="eastAsia" w:ascii="方正小标宋_GBK" w:hAnsi="方正小标宋_GBK" w:eastAsia="方正小标宋_GBK" w:cs="方正小标宋_GBK"/>
                <w:i w:val="0"/>
                <w:color w:val="auto"/>
                <w:sz w:val="22"/>
                <w:szCs w:val="22"/>
                <w:u w:val="none"/>
                <w:lang w:val="en-US" w:eastAsia="zh-CN"/>
              </w:rPr>
            </w:pPr>
            <w:r>
              <w:rPr>
                <w:rFonts w:hint="eastAsia" w:ascii="方正小标宋_GBK" w:hAnsi="方正小标宋_GBK" w:eastAsia="方正小标宋_GBK" w:cs="方正小标宋_GBK"/>
                <w:i w:val="0"/>
                <w:color w:val="auto"/>
                <w:sz w:val="22"/>
                <w:szCs w:val="22"/>
                <w:u w:val="none"/>
                <w:lang w:val="en-US" w:eastAsia="zh-CN"/>
              </w:rPr>
              <w:t>8</w:t>
            </w:r>
          </w:p>
        </w:tc>
        <w:tc>
          <w:tcPr>
            <w:tcW w:w="1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bl>
            <w:tblPr>
              <w:tblStyle w:val="18"/>
              <w:tblW w:w="1171"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2" w:hRule="atLeast"/>
              </w:trPr>
              <w:tc>
                <w:tcPr>
                  <w:tcW w:w="117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outlineLvl w:val="9"/>
                    <w:rPr>
                      <w:rFonts w:hint="default" w:ascii="Times New Roman" w:hAnsi="Times New Roman" w:eastAsia="方正小标宋_GBK" w:cs="Times New Roman"/>
                      <w:b w:val="0"/>
                      <w:bCs w:val="0"/>
                      <w:i w:val="0"/>
                      <w:color w:val="auto"/>
                      <w:sz w:val="22"/>
                      <w:szCs w:val="22"/>
                      <w:u w:val="none"/>
                    </w:rPr>
                  </w:pPr>
                </w:p>
              </w:tc>
            </w:tr>
          </w:tbl>
          <w:p>
            <w:pPr>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default" w:ascii="Times New Roman" w:hAnsi="Times New Roman" w:eastAsia="方正小标宋_GBK" w:cs="Times New Roman"/>
                <w:b w:val="0"/>
                <w:bCs w:val="0"/>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0" w:type="dxa"/>
          <w:trHeight w:val="90" w:hRule="atLeast"/>
        </w:trPr>
        <w:tc>
          <w:tcPr>
            <w:tcW w:w="12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center"/>
              <w:outlineLvl w:val="9"/>
              <w:rPr>
                <w:rFonts w:hint="default" w:ascii="Times New Roman" w:hAnsi="Times New Roman" w:eastAsia="方正小标宋_GBK" w:cs="Times New Roman"/>
                <w:i w:val="0"/>
                <w:color w:val="auto"/>
                <w:sz w:val="22"/>
                <w:szCs w:val="22"/>
                <w:u w:val="none"/>
              </w:rPr>
            </w:pPr>
            <w:r>
              <w:rPr>
                <w:rFonts w:hint="default" w:ascii="Times New Roman" w:hAnsi="Times New Roman" w:eastAsia="方正小标宋_GBK" w:cs="Times New Roman"/>
                <w:i w:val="0"/>
                <w:color w:val="auto"/>
                <w:kern w:val="0"/>
                <w:sz w:val="22"/>
                <w:szCs w:val="22"/>
                <w:u w:val="none"/>
                <w:lang w:val="en-US" w:eastAsia="zh-CN" w:bidi="ar"/>
              </w:rPr>
              <w:t>7</w:t>
            </w:r>
          </w:p>
        </w:tc>
        <w:tc>
          <w:tcPr>
            <w:tcW w:w="47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center"/>
              <w:outlineLvl w:val="9"/>
              <w:rPr>
                <w:rFonts w:hint="default" w:ascii="Times New Roman" w:hAnsi="Times New Roman" w:eastAsia="方正小标宋_GBK" w:cs="Times New Roman"/>
                <w:i w:val="0"/>
                <w:color w:val="auto"/>
                <w:sz w:val="22"/>
                <w:szCs w:val="22"/>
                <w:u w:val="none"/>
              </w:rPr>
            </w:pPr>
            <w:r>
              <w:rPr>
                <w:rFonts w:hint="default" w:ascii="Times New Roman" w:hAnsi="Times New Roman" w:eastAsia="方正小标宋_GBK" w:cs="Times New Roman"/>
                <w:i w:val="0"/>
                <w:color w:val="auto"/>
                <w:kern w:val="0"/>
                <w:sz w:val="22"/>
                <w:szCs w:val="22"/>
                <w:u w:val="none"/>
                <w:lang w:val="en-US" w:eastAsia="zh-CN" w:bidi="ar"/>
              </w:rPr>
              <w:t>外贸进出口总额</w:t>
            </w:r>
          </w:p>
        </w:tc>
        <w:tc>
          <w:tcPr>
            <w:tcW w:w="2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center"/>
              <w:outlineLvl w:val="9"/>
              <w:rPr>
                <w:rFonts w:hint="default" w:ascii="Times New Roman" w:hAnsi="Times New Roman" w:eastAsia="方正小标宋_GBK" w:cs="Times New Roman"/>
                <w:i w:val="0"/>
                <w:color w:val="auto"/>
                <w:sz w:val="22"/>
                <w:szCs w:val="22"/>
                <w:u w:val="none"/>
              </w:rPr>
            </w:pPr>
            <w:r>
              <w:rPr>
                <w:rFonts w:hint="default" w:ascii="Times New Roman" w:hAnsi="Times New Roman" w:eastAsia="方正小标宋_GBK" w:cs="Times New Roman"/>
                <w:i w:val="0"/>
                <w:color w:val="auto"/>
                <w:kern w:val="0"/>
                <w:sz w:val="22"/>
                <w:szCs w:val="22"/>
                <w:u w:val="none"/>
                <w:lang w:val="en-US" w:eastAsia="zh-CN" w:bidi="ar"/>
              </w:rPr>
              <w:t>亿元，%</w:t>
            </w:r>
          </w:p>
        </w:tc>
        <w:tc>
          <w:tcPr>
            <w:tcW w:w="21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center"/>
              <w:outlineLvl w:val="9"/>
              <w:rPr>
                <w:rFonts w:hint="eastAsia" w:ascii="方正小标宋_GBK" w:hAnsi="方正小标宋_GBK" w:eastAsia="方正小标宋_GBK" w:cs="方正小标宋_GBK"/>
                <w:i w:val="0"/>
                <w:color w:val="auto"/>
                <w:sz w:val="22"/>
                <w:szCs w:val="22"/>
                <w:u w:val="none"/>
              </w:rPr>
            </w:pPr>
            <w:r>
              <w:rPr>
                <w:rFonts w:hint="eastAsia" w:ascii="方正小标宋_GBK" w:hAnsi="方正小标宋_GBK" w:eastAsia="方正小标宋_GBK" w:cs="方正小标宋_GBK"/>
                <w:i w:val="0"/>
                <w:color w:val="auto"/>
                <w:kern w:val="0"/>
                <w:sz w:val="22"/>
                <w:szCs w:val="22"/>
                <w:u w:val="none"/>
                <w:lang w:val="en-US" w:eastAsia="zh-CN" w:bidi="ar"/>
              </w:rPr>
              <w:t>1.72</w:t>
            </w:r>
          </w:p>
        </w:tc>
        <w:tc>
          <w:tcPr>
            <w:tcW w:w="21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center"/>
              <w:outlineLvl w:val="9"/>
              <w:rPr>
                <w:rFonts w:hint="eastAsia" w:ascii="方正小标宋_GBK" w:hAnsi="方正小标宋_GBK" w:eastAsia="方正小标宋_GBK" w:cs="方正小标宋_GBK"/>
                <w:i w:val="0"/>
                <w:color w:val="auto"/>
                <w:sz w:val="22"/>
                <w:szCs w:val="22"/>
                <w:u w:val="none"/>
                <w:lang w:val="en-US" w:eastAsia="zh-CN"/>
              </w:rPr>
            </w:pPr>
            <w:r>
              <w:rPr>
                <w:rFonts w:hint="eastAsia" w:ascii="方正小标宋_GBK" w:hAnsi="方正小标宋_GBK" w:eastAsia="方正小标宋_GBK" w:cs="方正小标宋_GBK"/>
                <w:i w:val="0"/>
                <w:color w:val="auto"/>
                <w:sz w:val="22"/>
                <w:szCs w:val="22"/>
                <w:u w:val="none"/>
                <w:lang w:val="en-US" w:eastAsia="zh-CN"/>
              </w:rPr>
              <w:t>16</w:t>
            </w:r>
          </w:p>
        </w:tc>
        <w:tc>
          <w:tcPr>
            <w:tcW w:w="1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bl>
            <w:tblPr>
              <w:tblStyle w:val="18"/>
              <w:tblW w:w="1141"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2" w:hRule="atLeast"/>
              </w:trPr>
              <w:tc>
                <w:tcPr>
                  <w:tcW w:w="11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outlineLvl w:val="9"/>
                    <w:rPr>
                      <w:rFonts w:hint="default" w:ascii="Times New Roman" w:hAnsi="Times New Roman" w:eastAsia="方正小标宋_GBK" w:cs="Times New Roman"/>
                      <w:b w:val="0"/>
                      <w:bCs w:val="0"/>
                      <w:i w:val="0"/>
                      <w:color w:val="auto"/>
                      <w:sz w:val="22"/>
                      <w:szCs w:val="22"/>
                      <w:u w:val="none"/>
                    </w:rPr>
                  </w:pPr>
                </w:p>
              </w:tc>
            </w:tr>
          </w:tbl>
          <w:p>
            <w:pPr>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default" w:ascii="Times New Roman" w:hAnsi="Times New Roman" w:eastAsia="方正小标宋_GBK" w:cs="Times New Roman"/>
                <w:b w:val="0"/>
                <w:bCs w:val="0"/>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0" w:type="dxa"/>
          <w:trHeight w:val="307" w:hRule="atLeast"/>
        </w:trPr>
        <w:tc>
          <w:tcPr>
            <w:tcW w:w="12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center"/>
              <w:outlineLvl w:val="9"/>
              <w:rPr>
                <w:rFonts w:hint="default" w:ascii="Times New Roman" w:hAnsi="Times New Roman" w:eastAsia="方正小标宋_GBK" w:cs="Times New Roman"/>
                <w:i w:val="0"/>
                <w:color w:val="auto"/>
                <w:sz w:val="22"/>
                <w:szCs w:val="22"/>
                <w:u w:val="none"/>
              </w:rPr>
            </w:pPr>
            <w:r>
              <w:rPr>
                <w:rFonts w:hint="default" w:ascii="Times New Roman" w:hAnsi="Times New Roman" w:eastAsia="方正小标宋_GBK" w:cs="Times New Roman"/>
                <w:i w:val="0"/>
                <w:color w:val="auto"/>
                <w:kern w:val="0"/>
                <w:sz w:val="22"/>
                <w:szCs w:val="22"/>
                <w:u w:val="none"/>
                <w:lang w:val="en-US" w:eastAsia="zh-CN" w:bidi="ar"/>
              </w:rPr>
              <w:t>8</w:t>
            </w:r>
          </w:p>
        </w:tc>
        <w:tc>
          <w:tcPr>
            <w:tcW w:w="47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center"/>
              <w:outlineLvl w:val="9"/>
              <w:rPr>
                <w:rFonts w:hint="default" w:ascii="Times New Roman" w:hAnsi="Times New Roman" w:eastAsia="方正小标宋_GBK" w:cs="Times New Roman"/>
                <w:i w:val="0"/>
                <w:color w:val="auto"/>
                <w:sz w:val="22"/>
                <w:szCs w:val="22"/>
                <w:u w:val="none"/>
              </w:rPr>
            </w:pPr>
            <w:r>
              <w:rPr>
                <w:rFonts w:hint="default" w:ascii="Times New Roman" w:hAnsi="Times New Roman" w:eastAsia="方正小标宋_GBK" w:cs="Times New Roman"/>
                <w:i w:val="0"/>
                <w:color w:val="auto"/>
                <w:kern w:val="0"/>
                <w:sz w:val="22"/>
                <w:szCs w:val="22"/>
                <w:u w:val="none"/>
                <w:lang w:val="en-US" w:eastAsia="zh-CN" w:bidi="ar"/>
              </w:rPr>
              <w:t>城镇常住居民人均可支配收入</w:t>
            </w:r>
          </w:p>
        </w:tc>
        <w:tc>
          <w:tcPr>
            <w:tcW w:w="2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center"/>
              <w:outlineLvl w:val="9"/>
              <w:rPr>
                <w:rFonts w:hint="default" w:ascii="Times New Roman" w:hAnsi="Times New Roman" w:eastAsia="方正小标宋_GBK" w:cs="Times New Roman"/>
                <w:i w:val="0"/>
                <w:color w:val="auto"/>
                <w:sz w:val="22"/>
                <w:szCs w:val="22"/>
                <w:u w:val="none"/>
              </w:rPr>
            </w:pPr>
            <w:r>
              <w:rPr>
                <w:rFonts w:hint="default" w:ascii="Times New Roman" w:hAnsi="Times New Roman" w:eastAsia="方正小标宋_GBK" w:cs="Times New Roman"/>
                <w:i w:val="0"/>
                <w:color w:val="auto"/>
                <w:kern w:val="0"/>
                <w:sz w:val="22"/>
                <w:szCs w:val="22"/>
                <w:u w:val="none"/>
                <w:lang w:val="en-US" w:eastAsia="zh-CN" w:bidi="ar"/>
              </w:rPr>
              <w:t>元，%</w:t>
            </w:r>
          </w:p>
        </w:tc>
        <w:tc>
          <w:tcPr>
            <w:tcW w:w="21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center"/>
              <w:outlineLvl w:val="9"/>
              <w:rPr>
                <w:rFonts w:hint="eastAsia" w:ascii="方正小标宋_GBK" w:hAnsi="方正小标宋_GBK" w:eastAsia="方正小标宋_GBK" w:cs="方正小标宋_GBK"/>
                <w:i w:val="0"/>
                <w:color w:val="auto"/>
                <w:kern w:val="0"/>
                <w:sz w:val="22"/>
                <w:szCs w:val="22"/>
                <w:u w:val="none"/>
                <w:lang w:bidi="ar"/>
              </w:rPr>
            </w:pPr>
            <w:r>
              <w:rPr>
                <w:rFonts w:hint="eastAsia" w:ascii="方正小标宋_GBK" w:hAnsi="方正小标宋_GBK" w:eastAsia="方正小标宋_GBK" w:cs="方正小标宋_GBK"/>
                <w:i w:val="0"/>
                <w:color w:val="auto"/>
                <w:kern w:val="0"/>
                <w:sz w:val="22"/>
                <w:szCs w:val="22"/>
                <w:u w:val="none"/>
                <w:lang w:val="en-US" w:eastAsia="zh-CN" w:bidi="ar"/>
              </w:rPr>
              <w:t>37629</w:t>
            </w:r>
          </w:p>
        </w:tc>
        <w:tc>
          <w:tcPr>
            <w:tcW w:w="21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center"/>
              <w:outlineLvl w:val="9"/>
              <w:rPr>
                <w:rFonts w:hint="eastAsia" w:ascii="方正小标宋_GBK" w:hAnsi="方正小标宋_GBK" w:eastAsia="方正小标宋_GBK" w:cs="方正小标宋_GBK"/>
                <w:i w:val="0"/>
                <w:color w:val="auto"/>
                <w:sz w:val="22"/>
                <w:szCs w:val="22"/>
                <w:u w:val="none"/>
                <w:lang w:val="en-US" w:eastAsia="zh-CN"/>
              </w:rPr>
            </w:pPr>
            <w:r>
              <w:rPr>
                <w:rFonts w:hint="eastAsia" w:ascii="方正小标宋_GBK" w:hAnsi="方正小标宋_GBK" w:eastAsia="方正小标宋_GBK" w:cs="方正小标宋_GBK"/>
                <w:i w:val="0"/>
                <w:color w:val="auto"/>
                <w:sz w:val="22"/>
                <w:szCs w:val="22"/>
                <w:u w:val="none"/>
                <w:lang w:val="en-US" w:eastAsia="zh-CN"/>
              </w:rPr>
              <w:t>8</w:t>
            </w:r>
          </w:p>
        </w:tc>
        <w:tc>
          <w:tcPr>
            <w:tcW w:w="1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bl>
            <w:tblPr>
              <w:tblStyle w:val="18"/>
              <w:tblW w:w="1111"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2" w:hRule="atLeast"/>
              </w:trPr>
              <w:tc>
                <w:tcPr>
                  <w:tcW w:w="111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outlineLvl w:val="9"/>
                    <w:rPr>
                      <w:rFonts w:hint="default" w:ascii="Times New Roman" w:hAnsi="Times New Roman" w:eastAsia="方正小标宋_GBK" w:cs="Times New Roman"/>
                      <w:b w:val="0"/>
                      <w:bCs w:val="0"/>
                      <w:i w:val="0"/>
                      <w:color w:val="auto"/>
                      <w:sz w:val="22"/>
                      <w:szCs w:val="22"/>
                      <w:u w:val="none"/>
                    </w:rPr>
                  </w:pPr>
                </w:p>
              </w:tc>
            </w:tr>
          </w:tbl>
          <w:p>
            <w:pPr>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default" w:ascii="Times New Roman" w:hAnsi="Times New Roman" w:eastAsia="方正小标宋_GBK" w:cs="Times New Roman"/>
                <w:b w:val="0"/>
                <w:bCs w:val="0"/>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0" w:type="dxa"/>
          <w:trHeight w:val="367" w:hRule="atLeast"/>
        </w:trPr>
        <w:tc>
          <w:tcPr>
            <w:tcW w:w="12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center"/>
              <w:outlineLvl w:val="9"/>
              <w:rPr>
                <w:rFonts w:hint="default" w:ascii="Times New Roman" w:hAnsi="Times New Roman" w:eastAsia="方正小标宋_GBK" w:cs="Times New Roman"/>
                <w:i w:val="0"/>
                <w:color w:val="auto"/>
                <w:sz w:val="22"/>
                <w:szCs w:val="22"/>
                <w:u w:val="none"/>
              </w:rPr>
            </w:pPr>
            <w:r>
              <w:rPr>
                <w:rFonts w:hint="default" w:ascii="Times New Roman" w:hAnsi="Times New Roman" w:eastAsia="方正小标宋_GBK" w:cs="Times New Roman"/>
                <w:i w:val="0"/>
                <w:color w:val="auto"/>
                <w:kern w:val="0"/>
                <w:sz w:val="22"/>
                <w:szCs w:val="22"/>
                <w:u w:val="none"/>
                <w:lang w:val="en-US" w:eastAsia="zh-CN" w:bidi="ar"/>
              </w:rPr>
              <w:t>9</w:t>
            </w:r>
          </w:p>
        </w:tc>
        <w:tc>
          <w:tcPr>
            <w:tcW w:w="47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center"/>
              <w:outlineLvl w:val="9"/>
              <w:rPr>
                <w:rFonts w:hint="default" w:ascii="Times New Roman" w:hAnsi="Times New Roman" w:eastAsia="方正小标宋_GBK" w:cs="Times New Roman"/>
                <w:i w:val="0"/>
                <w:color w:val="auto"/>
                <w:sz w:val="22"/>
                <w:szCs w:val="22"/>
                <w:u w:val="none"/>
              </w:rPr>
            </w:pPr>
            <w:r>
              <w:rPr>
                <w:rFonts w:hint="default" w:ascii="Times New Roman" w:hAnsi="Times New Roman" w:eastAsia="方正小标宋_GBK" w:cs="Times New Roman"/>
                <w:i w:val="0"/>
                <w:color w:val="auto"/>
                <w:kern w:val="0"/>
                <w:sz w:val="22"/>
                <w:szCs w:val="22"/>
                <w:u w:val="none"/>
                <w:lang w:val="en-US" w:eastAsia="zh-CN" w:bidi="ar"/>
              </w:rPr>
              <w:t>农村常住居民人均可支配收入</w:t>
            </w:r>
          </w:p>
        </w:tc>
        <w:tc>
          <w:tcPr>
            <w:tcW w:w="2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center"/>
              <w:outlineLvl w:val="9"/>
              <w:rPr>
                <w:rFonts w:hint="default" w:ascii="Times New Roman" w:hAnsi="Times New Roman" w:eastAsia="方正小标宋_GBK" w:cs="Times New Roman"/>
                <w:i w:val="0"/>
                <w:color w:val="auto"/>
                <w:sz w:val="22"/>
                <w:szCs w:val="22"/>
                <w:u w:val="none"/>
              </w:rPr>
            </w:pPr>
            <w:r>
              <w:rPr>
                <w:rFonts w:hint="default" w:ascii="Times New Roman" w:hAnsi="Times New Roman" w:eastAsia="方正小标宋_GBK" w:cs="Times New Roman"/>
                <w:i w:val="0"/>
                <w:color w:val="auto"/>
                <w:kern w:val="0"/>
                <w:sz w:val="22"/>
                <w:szCs w:val="22"/>
                <w:u w:val="none"/>
                <w:lang w:val="en-US" w:eastAsia="zh-CN" w:bidi="ar"/>
              </w:rPr>
              <w:t>元，%</w:t>
            </w:r>
          </w:p>
        </w:tc>
        <w:tc>
          <w:tcPr>
            <w:tcW w:w="21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center"/>
              <w:outlineLvl w:val="9"/>
              <w:rPr>
                <w:rFonts w:hint="eastAsia" w:ascii="方正小标宋_GBK" w:hAnsi="方正小标宋_GBK" w:eastAsia="方正小标宋_GBK" w:cs="方正小标宋_GBK"/>
                <w:i w:val="0"/>
                <w:color w:val="auto"/>
                <w:kern w:val="0"/>
                <w:sz w:val="22"/>
                <w:szCs w:val="22"/>
                <w:u w:val="none"/>
                <w:lang w:bidi="ar"/>
              </w:rPr>
            </w:pPr>
            <w:r>
              <w:rPr>
                <w:rFonts w:hint="eastAsia" w:ascii="方正小标宋_GBK" w:hAnsi="方正小标宋_GBK" w:eastAsia="方正小标宋_GBK" w:cs="方正小标宋_GBK"/>
                <w:i w:val="0"/>
                <w:color w:val="auto"/>
                <w:kern w:val="0"/>
                <w:sz w:val="22"/>
                <w:szCs w:val="22"/>
                <w:u w:val="none"/>
                <w:lang w:val="en-US" w:eastAsia="zh-CN" w:bidi="ar"/>
              </w:rPr>
              <w:t>15519</w:t>
            </w:r>
          </w:p>
        </w:tc>
        <w:tc>
          <w:tcPr>
            <w:tcW w:w="21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center"/>
              <w:outlineLvl w:val="9"/>
              <w:rPr>
                <w:rFonts w:hint="eastAsia" w:ascii="方正小标宋_GBK" w:hAnsi="方正小标宋_GBK" w:eastAsia="方正小标宋_GBK" w:cs="方正小标宋_GBK"/>
                <w:i w:val="0"/>
                <w:color w:val="auto"/>
                <w:sz w:val="22"/>
                <w:szCs w:val="22"/>
                <w:u w:val="none"/>
                <w:lang w:val="en-US" w:eastAsia="zh-CN"/>
              </w:rPr>
            </w:pPr>
            <w:r>
              <w:rPr>
                <w:rFonts w:hint="eastAsia" w:ascii="方正小标宋_GBK" w:hAnsi="方正小标宋_GBK" w:eastAsia="方正小标宋_GBK" w:cs="方正小标宋_GBK"/>
                <w:i w:val="0"/>
                <w:color w:val="auto"/>
                <w:sz w:val="22"/>
                <w:szCs w:val="22"/>
                <w:u w:val="none"/>
                <w:lang w:val="en-US" w:eastAsia="zh-CN"/>
              </w:rPr>
              <w:t>9</w:t>
            </w:r>
          </w:p>
        </w:tc>
        <w:tc>
          <w:tcPr>
            <w:tcW w:w="1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bl>
            <w:tblPr>
              <w:tblStyle w:val="18"/>
              <w:tblW w:w="1186"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2" w:hRule="atLeast"/>
              </w:trPr>
              <w:tc>
                <w:tcPr>
                  <w:tcW w:w="118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outlineLvl w:val="9"/>
                    <w:rPr>
                      <w:rFonts w:hint="default" w:ascii="Times New Roman" w:hAnsi="Times New Roman" w:eastAsia="方正小标宋_GBK" w:cs="Times New Roman"/>
                      <w:b w:val="0"/>
                      <w:bCs w:val="0"/>
                      <w:i w:val="0"/>
                      <w:color w:val="auto"/>
                      <w:sz w:val="22"/>
                      <w:szCs w:val="22"/>
                      <w:u w:val="none"/>
                    </w:rPr>
                  </w:pPr>
                </w:p>
              </w:tc>
            </w:tr>
          </w:tbl>
          <w:p>
            <w:pPr>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outlineLvl w:val="9"/>
              <w:rPr>
                <w:rFonts w:hint="default" w:ascii="Times New Roman" w:hAnsi="Times New Roman" w:eastAsia="方正小标宋_GBK" w:cs="Times New Roman"/>
                <w:b w:val="0"/>
                <w:bCs w:val="0"/>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0" w:type="dxa"/>
          <w:trHeight w:val="292" w:hRule="atLeast"/>
        </w:trPr>
        <w:tc>
          <w:tcPr>
            <w:tcW w:w="12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center"/>
              <w:outlineLvl w:val="9"/>
              <w:rPr>
                <w:rFonts w:hint="default" w:ascii="Times New Roman" w:hAnsi="Times New Roman" w:eastAsia="方正小标宋_GBK" w:cs="Times New Roman"/>
                <w:i w:val="0"/>
                <w:color w:val="auto"/>
                <w:sz w:val="22"/>
                <w:szCs w:val="22"/>
                <w:u w:val="none"/>
              </w:rPr>
            </w:pPr>
            <w:r>
              <w:rPr>
                <w:rFonts w:hint="default" w:ascii="Times New Roman" w:hAnsi="Times New Roman" w:eastAsia="方正小标宋_GBK" w:cs="Times New Roman"/>
                <w:i w:val="0"/>
                <w:color w:val="auto"/>
                <w:kern w:val="0"/>
                <w:sz w:val="22"/>
                <w:szCs w:val="22"/>
                <w:u w:val="none"/>
                <w:lang w:val="en-US" w:eastAsia="zh-CN" w:bidi="ar"/>
              </w:rPr>
              <w:t>10</w:t>
            </w:r>
          </w:p>
        </w:tc>
        <w:tc>
          <w:tcPr>
            <w:tcW w:w="47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center"/>
              <w:outlineLvl w:val="9"/>
              <w:rPr>
                <w:rFonts w:hint="default" w:ascii="Times New Roman" w:hAnsi="Times New Roman" w:eastAsia="方正小标宋_GBK" w:cs="Times New Roman"/>
                <w:i w:val="0"/>
                <w:color w:val="auto"/>
                <w:sz w:val="22"/>
                <w:szCs w:val="22"/>
                <w:u w:val="none"/>
              </w:rPr>
            </w:pPr>
            <w:r>
              <w:rPr>
                <w:rFonts w:hint="default" w:ascii="Times New Roman" w:hAnsi="Times New Roman" w:eastAsia="方正小标宋_GBK" w:cs="Times New Roman"/>
                <w:i w:val="0"/>
                <w:color w:val="auto"/>
                <w:kern w:val="0"/>
                <w:sz w:val="22"/>
                <w:szCs w:val="22"/>
                <w:u w:val="none"/>
                <w:lang w:val="en-US" w:eastAsia="zh-CN" w:bidi="ar"/>
              </w:rPr>
              <w:t>招商引资市外到位资金</w:t>
            </w:r>
          </w:p>
        </w:tc>
        <w:tc>
          <w:tcPr>
            <w:tcW w:w="2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center"/>
              <w:outlineLvl w:val="9"/>
              <w:rPr>
                <w:rFonts w:hint="default" w:ascii="Times New Roman" w:hAnsi="Times New Roman" w:eastAsia="方正小标宋_GBK" w:cs="Times New Roman"/>
                <w:i w:val="0"/>
                <w:color w:val="auto"/>
                <w:sz w:val="22"/>
                <w:szCs w:val="22"/>
                <w:u w:val="none"/>
              </w:rPr>
            </w:pPr>
            <w:r>
              <w:rPr>
                <w:rFonts w:hint="default" w:ascii="Times New Roman" w:hAnsi="Times New Roman" w:eastAsia="方正小标宋_GBK" w:cs="Times New Roman"/>
                <w:i w:val="0"/>
                <w:color w:val="auto"/>
                <w:kern w:val="0"/>
                <w:sz w:val="22"/>
                <w:szCs w:val="22"/>
                <w:u w:val="none"/>
                <w:lang w:val="en-US" w:eastAsia="zh-CN" w:bidi="ar"/>
              </w:rPr>
              <w:t>亿元，%</w:t>
            </w:r>
          </w:p>
        </w:tc>
        <w:tc>
          <w:tcPr>
            <w:tcW w:w="21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center"/>
              <w:outlineLvl w:val="9"/>
              <w:rPr>
                <w:rFonts w:hint="eastAsia" w:ascii="方正小标宋_GBK" w:hAnsi="方正小标宋_GBK" w:eastAsia="方正小标宋_GBK" w:cs="方正小标宋_GBK"/>
                <w:i w:val="0"/>
                <w:color w:val="auto"/>
                <w:kern w:val="0"/>
                <w:sz w:val="22"/>
                <w:szCs w:val="22"/>
                <w:u w:val="none"/>
                <w:lang w:bidi="ar"/>
              </w:rPr>
            </w:pPr>
            <w:r>
              <w:rPr>
                <w:rFonts w:hint="eastAsia" w:ascii="方正小标宋_GBK" w:hAnsi="方正小标宋_GBK" w:eastAsia="方正小标宋_GBK" w:cs="方正小标宋_GBK"/>
                <w:i w:val="0"/>
                <w:color w:val="auto"/>
                <w:kern w:val="0"/>
                <w:sz w:val="22"/>
                <w:szCs w:val="22"/>
                <w:u w:val="none"/>
                <w:lang w:val="en-US" w:eastAsia="zh-CN" w:bidi="ar"/>
              </w:rPr>
              <w:t>255.32</w:t>
            </w:r>
          </w:p>
        </w:tc>
        <w:tc>
          <w:tcPr>
            <w:tcW w:w="21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center"/>
              <w:outlineLvl w:val="9"/>
              <w:rPr>
                <w:rFonts w:hint="eastAsia" w:ascii="方正小标宋_GBK" w:hAnsi="方正小标宋_GBK" w:eastAsia="方正小标宋_GBK" w:cs="方正小标宋_GBK"/>
                <w:i w:val="0"/>
                <w:color w:val="auto"/>
                <w:sz w:val="22"/>
                <w:szCs w:val="22"/>
                <w:u w:val="none"/>
                <w:lang w:val="en-US" w:eastAsia="zh-CN"/>
              </w:rPr>
            </w:pPr>
            <w:r>
              <w:rPr>
                <w:rFonts w:hint="eastAsia" w:ascii="方正小标宋_GBK" w:hAnsi="方正小标宋_GBK" w:eastAsia="方正小标宋_GBK" w:cs="方正小标宋_GBK"/>
                <w:i w:val="0"/>
                <w:color w:val="auto"/>
                <w:sz w:val="22"/>
                <w:szCs w:val="22"/>
                <w:u w:val="none"/>
                <w:lang w:val="en-US" w:eastAsia="zh-CN"/>
              </w:rPr>
              <w:t>10</w:t>
            </w:r>
          </w:p>
        </w:tc>
        <w:tc>
          <w:tcPr>
            <w:tcW w:w="1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bl>
            <w:tblPr>
              <w:tblStyle w:val="18"/>
              <w:tblW w:w="1111"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2" w:hRule="atLeast"/>
              </w:trPr>
              <w:tc>
                <w:tcPr>
                  <w:tcW w:w="111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outlineLvl w:val="9"/>
                    <w:rPr>
                      <w:rFonts w:hint="default" w:ascii="Times New Roman" w:hAnsi="Times New Roman" w:eastAsia="方正小标宋_GBK" w:cs="Times New Roman"/>
                      <w:b w:val="0"/>
                      <w:bCs w:val="0"/>
                      <w:i w:val="0"/>
                      <w:color w:val="auto"/>
                      <w:sz w:val="22"/>
                      <w:szCs w:val="22"/>
                      <w:u w:val="none"/>
                    </w:rPr>
                  </w:pPr>
                </w:p>
              </w:tc>
            </w:tr>
          </w:tbl>
          <w:p>
            <w:pPr>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outlineLvl w:val="9"/>
              <w:rPr>
                <w:rFonts w:hint="default" w:ascii="Times New Roman" w:hAnsi="Times New Roman" w:eastAsia="方正小标宋_GBK" w:cs="Times New Roman"/>
                <w:b w:val="0"/>
                <w:bCs w:val="0"/>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0" w:type="dxa"/>
          <w:trHeight w:val="337" w:hRule="atLeast"/>
        </w:trPr>
        <w:tc>
          <w:tcPr>
            <w:tcW w:w="12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center"/>
              <w:outlineLvl w:val="9"/>
              <w:rPr>
                <w:rFonts w:hint="default" w:ascii="Times New Roman" w:hAnsi="Times New Roman" w:eastAsia="方正小标宋_GBK" w:cs="Times New Roman"/>
                <w:i w:val="0"/>
                <w:color w:val="auto"/>
                <w:sz w:val="22"/>
                <w:szCs w:val="22"/>
                <w:u w:val="none"/>
              </w:rPr>
            </w:pPr>
            <w:r>
              <w:rPr>
                <w:rFonts w:hint="default" w:ascii="Times New Roman" w:hAnsi="Times New Roman" w:eastAsia="方正小标宋_GBK" w:cs="Times New Roman"/>
                <w:i w:val="0"/>
                <w:color w:val="auto"/>
                <w:kern w:val="0"/>
                <w:sz w:val="22"/>
                <w:szCs w:val="22"/>
                <w:u w:val="none"/>
                <w:lang w:val="en-US" w:eastAsia="zh-CN" w:bidi="ar"/>
              </w:rPr>
              <w:t>11</w:t>
            </w:r>
          </w:p>
        </w:tc>
        <w:tc>
          <w:tcPr>
            <w:tcW w:w="47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center"/>
              <w:outlineLvl w:val="9"/>
              <w:rPr>
                <w:rFonts w:hint="default" w:ascii="Times New Roman" w:hAnsi="Times New Roman" w:eastAsia="方正小标宋_GBK" w:cs="Times New Roman"/>
                <w:i w:val="0"/>
                <w:color w:val="auto"/>
                <w:sz w:val="22"/>
                <w:szCs w:val="22"/>
                <w:u w:val="none"/>
              </w:rPr>
            </w:pPr>
            <w:r>
              <w:rPr>
                <w:rFonts w:hint="default" w:ascii="Times New Roman" w:hAnsi="Times New Roman" w:eastAsia="方正小标宋_GBK" w:cs="Times New Roman"/>
                <w:i w:val="0"/>
                <w:color w:val="auto"/>
                <w:kern w:val="0"/>
                <w:sz w:val="22"/>
                <w:szCs w:val="22"/>
                <w:u w:val="none"/>
                <w:lang w:val="en-US" w:eastAsia="zh-CN" w:bidi="ar"/>
              </w:rPr>
              <w:t>城镇登记失业率</w:t>
            </w:r>
          </w:p>
        </w:tc>
        <w:tc>
          <w:tcPr>
            <w:tcW w:w="2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center"/>
              <w:outlineLvl w:val="9"/>
              <w:rPr>
                <w:rFonts w:hint="default" w:ascii="Times New Roman" w:hAnsi="Times New Roman" w:eastAsia="方正小标宋_GBK" w:cs="Times New Roman"/>
                <w:i w:val="0"/>
                <w:color w:val="auto"/>
                <w:sz w:val="22"/>
                <w:szCs w:val="22"/>
                <w:u w:val="none"/>
              </w:rPr>
            </w:pPr>
            <w:r>
              <w:rPr>
                <w:rFonts w:hint="default" w:ascii="Times New Roman" w:hAnsi="Times New Roman" w:eastAsia="方正小标宋_GBK" w:cs="Times New Roman"/>
                <w:i w:val="0"/>
                <w:color w:val="auto"/>
                <w:kern w:val="0"/>
                <w:sz w:val="22"/>
                <w:szCs w:val="22"/>
                <w:u w:val="none"/>
                <w:lang w:val="en-US" w:eastAsia="zh-CN" w:bidi="ar"/>
              </w:rPr>
              <w:t>%</w:t>
            </w:r>
          </w:p>
        </w:tc>
        <w:tc>
          <w:tcPr>
            <w:tcW w:w="43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center"/>
              <w:outlineLvl w:val="9"/>
              <w:rPr>
                <w:rFonts w:hint="eastAsia" w:ascii="方正小标宋_GBK" w:hAnsi="方正小标宋_GBK" w:eastAsia="方正小标宋_GBK" w:cs="方正小标宋_GBK"/>
                <w:i w:val="0"/>
                <w:color w:val="auto"/>
                <w:sz w:val="22"/>
                <w:szCs w:val="22"/>
                <w:u w:val="none"/>
              </w:rPr>
            </w:pPr>
            <w:r>
              <w:rPr>
                <w:rFonts w:hint="eastAsia" w:ascii="方正小标宋_GBK" w:hAnsi="方正小标宋_GBK" w:eastAsia="方正小标宋_GBK" w:cs="方正小标宋_GBK"/>
                <w:i w:val="0"/>
                <w:color w:val="auto"/>
                <w:kern w:val="0"/>
                <w:sz w:val="22"/>
                <w:szCs w:val="22"/>
                <w:u w:val="none"/>
                <w:lang w:val="en-US" w:eastAsia="zh-CN" w:bidi="ar"/>
              </w:rPr>
              <w:t>4.3%以内</w:t>
            </w:r>
          </w:p>
        </w:tc>
        <w:tc>
          <w:tcPr>
            <w:tcW w:w="1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bl>
            <w:tblPr>
              <w:tblStyle w:val="18"/>
              <w:tblW w:w="1141"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2" w:hRule="atLeast"/>
              </w:trPr>
              <w:tc>
                <w:tcPr>
                  <w:tcW w:w="11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outlineLvl w:val="9"/>
                    <w:rPr>
                      <w:rFonts w:hint="default" w:ascii="Times New Roman" w:hAnsi="Times New Roman" w:eastAsia="方正小标宋_GBK" w:cs="Times New Roman"/>
                      <w:b w:val="0"/>
                      <w:bCs w:val="0"/>
                      <w:i w:val="0"/>
                      <w:color w:val="auto"/>
                      <w:sz w:val="22"/>
                      <w:szCs w:val="22"/>
                      <w:u w:val="none"/>
                    </w:rPr>
                  </w:pPr>
                </w:p>
              </w:tc>
            </w:tr>
          </w:tbl>
          <w:p>
            <w:pPr>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outlineLvl w:val="9"/>
              <w:rPr>
                <w:rFonts w:hint="default" w:ascii="Times New Roman" w:hAnsi="Times New Roman" w:eastAsia="方正小标宋_GBK" w:cs="Times New Roman"/>
                <w:b w:val="0"/>
                <w:bCs w:val="0"/>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0" w:type="dxa"/>
          <w:trHeight w:val="90" w:hRule="atLeast"/>
        </w:trPr>
        <w:tc>
          <w:tcPr>
            <w:tcW w:w="12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center"/>
              <w:outlineLvl w:val="9"/>
              <w:rPr>
                <w:rFonts w:hint="default" w:ascii="Times New Roman" w:hAnsi="Times New Roman" w:eastAsia="方正小标宋_GBK" w:cs="Times New Roman"/>
                <w:i w:val="0"/>
                <w:color w:val="auto"/>
                <w:sz w:val="22"/>
                <w:szCs w:val="22"/>
                <w:u w:val="none"/>
              </w:rPr>
            </w:pPr>
            <w:r>
              <w:rPr>
                <w:rFonts w:hint="default" w:ascii="Times New Roman" w:hAnsi="Times New Roman" w:eastAsia="方正小标宋_GBK" w:cs="Times New Roman"/>
                <w:i w:val="0"/>
                <w:color w:val="auto"/>
                <w:kern w:val="0"/>
                <w:sz w:val="22"/>
                <w:szCs w:val="22"/>
                <w:u w:val="none"/>
                <w:lang w:val="en-US" w:eastAsia="zh-CN" w:bidi="ar"/>
              </w:rPr>
              <w:t>12</w:t>
            </w:r>
          </w:p>
        </w:tc>
        <w:tc>
          <w:tcPr>
            <w:tcW w:w="47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center"/>
              <w:outlineLvl w:val="9"/>
              <w:rPr>
                <w:rFonts w:hint="default" w:ascii="Times New Roman" w:hAnsi="Times New Roman" w:eastAsia="方正小标宋_GBK" w:cs="Times New Roman"/>
                <w:i w:val="0"/>
                <w:color w:val="auto"/>
                <w:sz w:val="22"/>
                <w:szCs w:val="22"/>
                <w:u w:val="none"/>
              </w:rPr>
            </w:pPr>
            <w:r>
              <w:rPr>
                <w:rFonts w:hint="default" w:ascii="Times New Roman" w:hAnsi="Times New Roman" w:eastAsia="方正小标宋_GBK" w:cs="Times New Roman"/>
                <w:i w:val="0"/>
                <w:color w:val="auto"/>
                <w:kern w:val="0"/>
                <w:sz w:val="22"/>
                <w:szCs w:val="22"/>
                <w:u w:val="none"/>
                <w:lang w:val="en-US" w:eastAsia="zh-CN" w:bidi="ar"/>
              </w:rPr>
              <w:t>居民消费价格总水平累计涨幅</w:t>
            </w:r>
          </w:p>
        </w:tc>
        <w:tc>
          <w:tcPr>
            <w:tcW w:w="2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center"/>
              <w:outlineLvl w:val="9"/>
              <w:rPr>
                <w:rFonts w:hint="default" w:ascii="Times New Roman" w:hAnsi="Times New Roman" w:eastAsia="方正小标宋_GBK" w:cs="Times New Roman"/>
                <w:i w:val="0"/>
                <w:color w:val="auto"/>
                <w:sz w:val="22"/>
                <w:szCs w:val="22"/>
                <w:u w:val="none"/>
              </w:rPr>
            </w:pPr>
            <w:r>
              <w:rPr>
                <w:rFonts w:hint="default" w:ascii="Times New Roman" w:hAnsi="Times New Roman" w:eastAsia="方正小标宋_GBK" w:cs="Times New Roman"/>
                <w:i w:val="0"/>
                <w:color w:val="auto"/>
                <w:kern w:val="0"/>
                <w:sz w:val="22"/>
                <w:szCs w:val="22"/>
                <w:u w:val="none"/>
                <w:lang w:val="en-US" w:eastAsia="zh-CN" w:bidi="ar"/>
              </w:rPr>
              <w:t>%</w:t>
            </w:r>
          </w:p>
        </w:tc>
        <w:tc>
          <w:tcPr>
            <w:tcW w:w="43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center"/>
              <w:outlineLvl w:val="9"/>
              <w:rPr>
                <w:rFonts w:hint="eastAsia" w:ascii="方正小标宋_GBK" w:hAnsi="方正小标宋_GBK" w:eastAsia="方正小标宋_GBK" w:cs="方正小标宋_GBK"/>
                <w:i w:val="0"/>
                <w:color w:val="auto"/>
                <w:sz w:val="22"/>
                <w:szCs w:val="22"/>
                <w:u w:val="none"/>
              </w:rPr>
            </w:pPr>
            <w:r>
              <w:rPr>
                <w:rFonts w:hint="eastAsia" w:ascii="方正小标宋_GBK" w:hAnsi="方正小标宋_GBK" w:eastAsia="方正小标宋_GBK" w:cs="方正小标宋_GBK"/>
                <w:i w:val="0"/>
                <w:color w:val="auto"/>
                <w:kern w:val="0"/>
                <w:sz w:val="22"/>
                <w:szCs w:val="22"/>
                <w:u w:val="none"/>
                <w:lang w:val="en-US" w:eastAsia="zh-CN" w:bidi="ar"/>
              </w:rPr>
              <w:t>3%左右</w:t>
            </w:r>
          </w:p>
        </w:tc>
        <w:tc>
          <w:tcPr>
            <w:tcW w:w="1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bl>
            <w:tblPr>
              <w:tblStyle w:val="18"/>
              <w:tblW w:w="1126"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2" w:hRule="atLeast"/>
              </w:trPr>
              <w:tc>
                <w:tcPr>
                  <w:tcW w:w="11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outlineLvl w:val="9"/>
                    <w:rPr>
                      <w:rFonts w:hint="default" w:ascii="Times New Roman" w:hAnsi="Times New Roman" w:eastAsia="方正小标宋_GBK" w:cs="Times New Roman"/>
                      <w:b w:val="0"/>
                      <w:bCs w:val="0"/>
                      <w:i w:val="0"/>
                      <w:color w:val="auto"/>
                      <w:sz w:val="22"/>
                      <w:szCs w:val="22"/>
                      <w:u w:val="none"/>
                    </w:rPr>
                  </w:pPr>
                </w:p>
              </w:tc>
            </w:tr>
          </w:tbl>
          <w:p>
            <w:pPr>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outlineLvl w:val="9"/>
              <w:rPr>
                <w:rFonts w:hint="default" w:ascii="Times New Roman" w:hAnsi="Times New Roman" w:eastAsia="方正小标宋_GBK" w:cs="Times New Roman"/>
                <w:b w:val="0"/>
                <w:bCs w:val="0"/>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20" w:type="dxa"/>
          <w:trHeight w:val="225" w:hRule="atLeast"/>
        </w:trPr>
        <w:tc>
          <w:tcPr>
            <w:tcW w:w="12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center"/>
              <w:outlineLvl w:val="9"/>
              <w:rPr>
                <w:rFonts w:hint="default" w:ascii="Times New Roman" w:hAnsi="Times New Roman" w:eastAsia="方正小标宋_GBK" w:cs="Times New Roman"/>
                <w:i w:val="0"/>
                <w:color w:val="auto"/>
                <w:sz w:val="22"/>
                <w:szCs w:val="22"/>
                <w:u w:val="none"/>
              </w:rPr>
            </w:pPr>
            <w:r>
              <w:rPr>
                <w:rFonts w:hint="default" w:ascii="Times New Roman" w:hAnsi="Times New Roman" w:eastAsia="方正小标宋_GBK" w:cs="Times New Roman"/>
                <w:i w:val="0"/>
                <w:color w:val="auto"/>
                <w:kern w:val="0"/>
                <w:sz w:val="22"/>
                <w:szCs w:val="22"/>
                <w:u w:val="none"/>
                <w:lang w:val="en-US" w:eastAsia="zh-CN" w:bidi="ar"/>
              </w:rPr>
              <w:t>13</w:t>
            </w:r>
          </w:p>
        </w:tc>
        <w:tc>
          <w:tcPr>
            <w:tcW w:w="47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center"/>
              <w:outlineLvl w:val="9"/>
              <w:rPr>
                <w:rFonts w:hint="default" w:ascii="Times New Roman" w:hAnsi="Times New Roman" w:eastAsia="方正小标宋_GBK" w:cs="Times New Roman"/>
                <w:i w:val="0"/>
                <w:color w:val="auto"/>
                <w:sz w:val="22"/>
                <w:szCs w:val="22"/>
                <w:u w:val="none"/>
              </w:rPr>
            </w:pPr>
            <w:r>
              <w:rPr>
                <w:rFonts w:hint="default" w:ascii="Times New Roman" w:hAnsi="Times New Roman" w:eastAsia="方正小标宋_GBK" w:cs="Times New Roman"/>
                <w:i w:val="0"/>
                <w:color w:val="auto"/>
                <w:kern w:val="0"/>
                <w:sz w:val="22"/>
                <w:szCs w:val="22"/>
                <w:u w:val="none"/>
                <w:lang w:val="en-US" w:eastAsia="zh-CN" w:bidi="ar"/>
              </w:rPr>
              <w:t>单位生产总值能耗降幅</w:t>
            </w:r>
          </w:p>
        </w:tc>
        <w:tc>
          <w:tcPr>
            <w:tcW w:w="2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center"/>
              <w:outlineLvl w:val="9"/>
              <w:rPr>
                <w:rFonts w:hint="default" w:ascii="Times New Roman" w:hAnsi="Times New Roman" w:eastAsia="方正小标宋_GBK" w:cs="Times New Roman"/>
                <w:i w:val="0"/>
                <w:color w:val="auto"/>
                <w:sz w:val="22"/>
                <w:szCs w:val="22"/>
                <w:u w:val="none"/>
              </w:rPr>
            </w:pPr>
            <w:r>
              <w:rPr>
                <w:rFonts w:hint="default" w:ascii="Times New Roman" w:hAnsi="Times New Roman" w:eastAsia="方正小标宋_GBK" w:cs="Times New Roman"/>
                <w:i w:val="0"/>
                <w:color w:val="auto"/>
                <w:kern w:val="0"/>
                <w:sz w:val="22"/>
                <w:szCs w:val="22"/>
                <w:u w:val="none"/>
                <w:lang w:val="en-US" w:eastAsia="zh-CN" w:bidi="ar"/>
              </w:rPr>
              <w:t>%</w:t>
            </w:r>
          </w:p>
        </w:tc>
        <w:tc>
          <w:tcPr>
            <w:tcW w:w="43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center"/>
              <w:outlineLvl w:val="9"/>
              <w:rPr>
                <w:rFonts w:hint="eastAsia" w:ascii="方正小标宋_GBK" w:hAnsi="方正小标宋_GBK" w:eastAsia="方正小标宋_GBK" w:cs="方正小标宋_GBK"/>
                <w:i w:val="0"/>
                <w:color w:val="auto"/>
                <w:sz w:val="22"/>
                <w:szCs w:val="22"/>
                <w:u w:val="none"/>
              </w:rPr>
            </w:pPr>
            <w:r>
              <w:rPr>
                <w:rFonts w:hint="eastAsia" w:ascii="方正小标宋_GBK" w:hAnsi="方正小标宋_GBK" w:eastAsia="方正小标宋_GBK" w:cs="方正小标宋_GBK"/>
                <w:i w:val="0"/>
                <w:color w:val="auto"/>
                <w:kern w:val="0"/>
                <w:sz w:val="22"/>
                <w:szCs w:val="22"/>
                <w:u w:val="none"/>
                <w:lang w:val="en-US" w:eastAsia="zh-CN" w:bidi="ar"/>
              </w:rPr>
              <w:t>完成市级下达目标</w:t>
            </w:r>
          </w:p>
        </w:tc>
        <w:tc>
          <w:tcPr>
            <w:tcW w:w="1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bl>
            <w:tblPr>
              <w:tblStyle w:val="18"/>
              <w:tblW w:w="1111"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2" w:hRule="atLeast"/>
              </w:trPr>
              <w:tc>
                <w:tcPr>
                  <w:tcW w:w="111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outlineLvl w:val="9"/>
                    <w:rPr>
                      <w:rFonts w:hint="default" w:ascii="Times New Roman" w:hAnsi="Times New Roman" w:eastAsia="方正小标宋_GBK" w:cs="Times New Roman"/>
                      <w:b w:val="0"/>
                      <w:bCs w:val="0"/>
                      <w:i w:val="0"/>
                      <w:color w:val="auto"/>
                      <w:sz w:val="22"/>
                      <w:szCs w:val="22"/>
                      <w:u w:val="none"/>
                    </w:rPr>
                  </w:pPr>
                </w:p>
              </w:tc>
            </w:tr>
          </w:tbl>
          <w:p>
            <w:pPr>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outlineLvl w:val="9"/>
              <w:rPr>
                <w:rFonts w:hint="default" w:ascii="Times New Roman" w:hAnsi="Times New Roman" w:eastAsia="方正小标宋_GBK" w:cs="Times New Roman"/>
                <w:b w:val="0"/>
                <w:bCs w:val="0"/>
                <w:i w:val="0"/>
                <w:color w:val="auto"/>
                <w:sz w:val="22"/>
                <w:szCs w:val="22"/>
                <w:u w:val="none"/>
              </w:rPr>
            </w:pPr>
          </w:p>
        </w:tc>
      </w:tr>
    </w:tbl>
    <w:p>
      <w:pPr>
        <w:pStyle w:val="19"/>
        <w:keepNext w:val="0"/>
        <w:keepLines w:val="0"/>
        <w:pageBreakBefore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outlineLvl w:val="9"/>
        <w:rPr>
          <w:rFonts w:hint="default" w:ascii="Times New Roman" w:hAnsi="Times New Roman" w:cs="Times New Roman"/>
          <w:color w:val="auto"/>
          <w:lang w:val="en-US" w:eastAsia="zh-CN"/>
        </w:rPr>
      </w:pPr>
    </w:p>
    <w:sectPr>
      <w:pgSz w:w="16838" w:h="11906" w:orient="landscape"/>
      <w:pgMar w:top="1587" w:right="1701" w:bottom="1474" w:left="1587" w:header="851" w:footer="992" w:gutter="0"/>
      <w:pgBorders>
        <w:top w:val="none" w:color="auto" w:sz="0" w:space="0"/>
        <w:left w:val="none" w:color="auto" w:sz="0" w:space="0"/>
        <w:bottom w:val="none" w:color="auto" w:sz="0" w:space="0"/>
        <w:right w:val="none" w:color="auto" w:sz="0" w:space="0"/>
      </w:pgBorders>
      <w:pgNumType w:fmt="numberInDash"/>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MingLiU">
    <w:panose1 w:val="02020309000000000000"/>
    <w:charset w:val="88"/>
    <w:family w:val="modern"/>
    <w:pitch w:val="default"/>
    <w:sig w:usb0="00000003" w:usb1="082E0000" w:usb2="00000016" w:usb3="00000000" w:csb0="00100001"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rPr>
                            <w:t>- 1 -</w:t>
                          </w:r>
                          <w:r>
                            <w:rPr>
                              <w:rFonts w:hint="eastAsia" w:asciiTheme="minorEastAsia" w:hAnsi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rPr>
                      <w:t>- 1 -</w:t>
                    </w:r>
                    <w:r>
                      <w:rPr>
                        <w:rFonts w:hint="eastAsia" w:asciiTheme="minorEastAsia" w:hAnsi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embedSystemFonts/>
  <w:bordersDoNotSurroundHeader w:val="0"/>
  <w:bordersDoNotSurroundFooter w:val="0"/>
  <w:trackRevisions w:val="1"/>
  <w:documentProtection w:enforcement="0"/>
  <w:defaultTabStop w:val="420"/>
  <w:drawingGridVerticalSpacing w:val="164"/>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B34323"/>
    <w:rsid w:val="000271C6"/>
    <w:rsid w:val="00031841"/>
    <w:rsid w:val="000367AC"/>
    <w:rsid w:val="00056936"/>
    <w:rsid w:val="0019390F"/>
    <w:rsid w:val="001C19D9"/>
    <w:rsid w:val="00237B27"/>
    <w:rsid w:val="002C7CF3"/>
    <w:rsid w:val="0031647F"/>
    <w:rsid w:val="0034572B"/>
    <w:rsid w:val="00516A5B"/>
    <w:rsid w:val="00541F91"/>
    <w:rsid w:val="005675D9"/>
    <w:rsid w:val="005E725C"/>
    <w:rsid w:val="005F23AB"/>
    <w:rsid w:val="00740001"/>
    <w:rsid w:val="0075194C"/>
    <w:rsid w:val="008322BB"/>
    <w:rsid w:val="00837C66"/>
    <w:rsid w:val="00956D5D"/>
    <w:rsid w:val="009A73B7"/>
    <w:rsid w:val="009C2D73"/>
    <w:rsid w:val="009F2E6D"/>
    <w:rsid w:val="00A51B0A"/>
    <w:rsid w:val="00B11042"/>
    <w:rsid w:val="00CB6E44"/>
    <w:rsid w:val="00D96324"/>
    <w:rsid w:val="00E037B5"/>
    <w:rsid w:val="00E704AE"/>
    <w:rsid w:val="00EB0944"/>
    <w:rsid w:val="00ED28EA"/>
    <w:rsid w:val="00F6014A"/>
    <w:rsid w:val="00FA4ACF"/>
    <w:rsid w:val="00FB66C6"/>
    <w:rsid w:val="00FD235D"/>
    <w:rsid w:val="011F061A"/>
    <w:rsid w:val="01265A14"/>
    <w:rsid w:val="012E5F78"/>
    <w:rsid w:val="0130281E"/>
    <w:rsid w:val="014367D1"/>
    <w:rsid w:val="014D7316"/>
    <w:rsid w:val="01554B9D"/>
    <w:rsid w:val="01556C69"/>
    <w:rsid w:val="0156177E"/>
    <w:rsid w:val="015F0175"/>
    <w:rsid w:val="01642F53"/>
    <w:rsid w:val="01643FD2"/>
    <w:rsid w:val="01671BDD"/>
    <w:rsid w:val="016D0192"/>
    <w:rsid w:val="01711C6C"/>
    <w:rsid w:val="01712C57"/>
    <w:rsid w:val="01723E44"/>
    <w:rsid w:val="01735806"/>
    <w:rsid w:val="01866E8C"/>
    <w:rsid w:val="018B4CBC"/>
    <w:rsid w:val="019000E3"/>
    <w:rsid w:val="019066BD"/>
    <w:rsid w:val="01996E19"/>
    <w:rsid w:val="01A01233"/>
    <w:rsid w:val="01A3205B"/>
    <w:rsid w:val="01AA266E"/>
    <w:rsid w:val="01B223C0"/>
    <w:rsid w:val="01BD0E1C"/>
    <w:rsid w:val="01CE4441"/>
    <w:rsid w:val="01D23A9F"/>
    <w:rsid w:val="01D345EE"/>
    <w:rsid w:val="01D40DBF"/>
    <w:rsid w:val="01D9415D"/>
    <w:rsid w:val="01DA5D2B"/>
    <w:rsid w:val="01DB65F9"/>
    <w:rsid w:val="01EE6FCD"/>
    <w:rsid w:val="01F42092"/>
    <w:rsid w:val="01F9483C"/>
    <w:rsid w:val="02063C87"/>
    <w:rsid w:val="02084271"/>
    <w:rsid w:val="020911F5"/>
    <w:rsid w:val="021F0250"/>
    <w:rsid w:val="022952F9"/>
    <w:rsid w:val="022B1C3C"/>
    <w:rsid w:val="022C31CC"/>
    <w:rsid w:val="0237011C"/>
    <w:rsid w:val="023A0912"/>
    <w:rsid w:val="023C41BF"/>
    <w:rsid w:val="0259508E"/>
    <w:rsid w:val="025A0B4A"/>
    <w:rsid w:val="025D6B3C"/>
    <w:rsid w:val="0261027B"/>
    <w:rsid w:val="02610498"/>
    <w:rsid w:val="026A50FE"/>
    <w:rsid w:val="02883EC8"/>
    <w:rsid w:val="0291430E"/>
    <w:rsid w:val="02927EB0"/>
    <w:rsid w:val="029E1B4C"/>
    <w:rsid w:val="02BA5744"/>
    <w:rsid w:val="02C57AC8"/>
    <w:rsid w:val="02DB61E1"/>
    <w:rsid w:val="02DF4542"/>
    <w:rsid w:val="02E42123"/>
    <w:rsid w:val="02EE0216"/>
    <w:rsid w:val="02F37E86"/>
    <w:rsid w:val="02F85CD4"/>
    <w:rsid w:val="030329CE"/>
    <w:rsid w:val="03065BC5"/>
    <w:rsid w:val="030E4AF3"/>
    <w:rsid w:val="030F38CA"/>
    <w:rsid w:val="031E1C78"/>
    <w:rsid w:val="031E3440"/>
    <w:rsid w:val="03271128"/>
    <w:rsid w:val="0340342C"/>
    <w:rsid w:val="034543B3"/>
    <w:rsid w:val="03457B16"/>
    <w:rsid w:val="03463857"/>
    <w:rsid w:val="03464833"/>
    <w:rsid w:val="034A051B"/>
    <w:rsid w:val="034F5EBC"/>
    <w:rsid w:val="03510564"/>
    <w:rsid w:val="03573486"/>
    <w:rsid w:val="035C6D7D"/>
    <w:rsid w:val="035F1D28"/>
    <w:rsid w:val="035F5EE4"/>
    <w:rsid w:val="03623E92"/>
    <w:rsid w:val="036E3A38"/>
    <w:rsid w:val="037367BD"/>
    <w:rsid w:val="03795D97"/>
    <w:rsid w:val="0379696E"/>
    <w:rsid w:val="037A2091"/>
    <w:rsid w:val="0380348F"/>
    <w:rsid w:val="03806F86"/>
    <w:rsid w:val="03843EAA"/>
    <w:rsid w:val="038A77DF"/>
    <w:rsid w:val="039E3EF0"/>
    <w:rsid w:val="03A172BB"/>
    <w:rsid w:val="03A205C8"/>
    <w:rsid w:val="03A367D0"/>
    <w:rsid w:val="03A925B4"/>
    <w:rsid w:val="03AF1170"/>
    <w:rsid w:val="03BF58DA"/>
    <w:rsid w:val="03C5467E"/>
    <w:rsid w:val="03C75B45"/>
    <w:rsid w:val="03D678F4"/>
    <w:rsid w:val="03DF45EF"/>
    <w:rsid w:val="03E72F16"/>
    <w:rsid w:val="03EE6468"/>
    <w:rsid w:val="03EF07DA"/>
    <w:rsid w:val="03F13507"/>
    <w:rsid w:val="03F2490B"/>
    <w:rsid w:val="03F71871"/>
    <w:rsid w:val="03F83A46"/>
    <w:rsid w:val="03FF5AAA"/>
    <w:rsid w:val="040269EE"/>
    <w:rsid w:val="04073530"/>
    <w:rsid w:val="04187BDA"/>
    <w:rsid w:val="04291591"/>
    <w:rsid w:val="044374CA"/>
    <w:rsid w:val="044B2DF9"/>
    <w:rsid w:val="045216F0"/>
    <w:rsid w:val="04565060"/>
    <w:rsid w:val="045A4DE9"/>
    <w:rsid w:val="045A5F3D"/>
    <w:rsid w:val="046E3282"/>
    <w:rsid w:val="047F5516"/>
    <w:rsid w:val="048C52D4"/>
    <w:rsid w:val="04916598"/>
    <w:rsid w:val="04920949"/>
    <w:rsid w:val="04932135"/>
    <w:rsid w:val="04974360"/>
    <w:rsid w:val="04992571"/>
    <w:rsid w:val="04994211"/>
    <w:rsid w:val="049C29FB"/>
    <w:rsid w:val="049D1C06"/>
    <w:rsid w:val="049E1342"/>
    <w:rsid w:val="04A4104E"/>
    <w:rsid w:val="04A97850"/>
    <w:rsid w:val="04AD4D55"/>
    <w:rsid w:val="04AE5349"/>
    <w:rsid w:val="04B579A5"/>
    <w:rsid w:val="04C33AE6"/>
    <w:rsid w:val="04C55A92"/>
    <w:rsid w:val="04CB3C08"/>
    <w:rsid w:val="04DE5F6C"/>
    <w:rsid w:val="04E208C8"/>
    <w:rsid w:val="04E22006"/>
    <w:rsid w:val="04E255C7"/>
    <w:rsid w:val="04EC43AD"/>
    <w:rsid w:val="05072278"/>
    <w:rsid w:val="05087FCB"/>
    <w:rsid w:val="050F4656"/>
    <w:rsid w:val="051B3287"/>
    <w:rsid w:val="051D6B12"/>
    <w:rsid w:val="05211065"/>
    <w:rsid w:val="05232F03"/>
    <w:rsid w:val="052412A7"/>
    <w:rsid w:val="0524268C"/>
    <w:rsid w:val="052514EE"/>
    <w:rsid w:val="05262663"/>
    <w:rsid w:val="05294AD9"/>
    <w:rsid w:val="05330CEA"/>
    <w:rsid w:val="05335C9F"/>
    <w:rsid w:val="05384636"/>
    <w:rsid w:val="053B5B2E"/>
    <w:rsid w:val="053B6F29"/>
    <w:rsid w:val="05551BE0"/>
    <w:rsid w:val="05553F70"/>
    <w:rsid w:val="05580A43"/>
    <w:rsid w:val="05582DEF"/>
    <w:rsid w:val="056C7910"/>
    <w:rsid w:val="056F0B71"/>
    <w:rsid w:val="0570570F"/>
    <w:rsid w:val="058923A5"/>
    <w:rsid w:val="058E6EA6"/>
    <w:rsid w:val="05950EA5"/>
    <w:rsid w:val="059B345D"/>
    <w:rsid w:val="059D524C"/>
    <w:rsid w:val="05A056BD"/>
    <w:rsid w:val="05A53F9C"/>
    <w:rsid w:val="05A836B0"/>
    <w:rsid w:val="05AA76F6"/>
    <w:rsid w:val="05B011B8"/>
    <w:rsid w:val="05C103FE"/>
    <w:rsid w:val="05CD0A98"/>
    <w:rsid w:val="05D52B51"/>
    <w:rsid w:val="05DA3D74"/>
    <w:rsid w:val="05E27BCA"/>
    <w:rsid w:val="05E37ABF"/>
    <w:rsid w:val="05E80CA1"/>
    <w:rsid w:val="05EB36B8"/>
    <w:rsid w:val="05ED49B3"/>
    <w:rsid w:val="05EE5E12"/>
    <w:rsid w:val="05FC5A2F"/>
    <w:rsid w:val="05FE14AB"/>
    <w:rsid w:val="06093918"/>
    <w:rsid w:val="061712C8"/>
    <w:rsid w:val="06185463"/>
    <w:rsid w:val="061A7899"/>
    <w:rsid w:val="061B732D"/>
    <w:rsid w:val="061C0081"/>
    <w:rsid w:val="062516A3"/>
    <w:rsid w:val="0627072F"/>
    <w:rsid w:val="06284E50"/>
    <w:rsid w:val="062F3239"/>
    <w:rsid w:val="06332B41"/>
    <w:rsid w:val="0637335D"/>
    <w:rsid w:val="063D3CD3"/>
    <w:rsid w:val="063E4875"/>
    <w:rsid w:val="064C314F"/>
    <w:rsid w:val="0650368B"/>
    <w:rsid w:val="066B5676"/>
    <w:rsid w:val="06761487"/>
    <w:rsid w:val="06884C5D"/>
    <w:rsid w:val="068D0FED"/>
    <w:rsid w:val="06913487"/>
    <w:rsid w:val="06A375E5"/>
    <w:rsid w:val="06B52E9C"/>
    <w:rsid w:val="06B83408"/>
    <w:rsid w:val="06B86033"/>
    <w:rsid w:val="06BA4412"/>
    <w:rsid w:val="06C66A39"/>
    <w:rsid w:val="06C71283"/>
    <w:rsid w:val="06C914BB"/>
    <w:rsid w:val="06C917B0"/>
    <w:rsid w:val="06C97ABD"/>
    <w:rsid w:val="06CB6D1A"/>
    <w:rsid w:val="06CB7478"/>
    <w:rsid w:val="06CD322E"/>
    <w:rsid w:val="06CE314D"/>
    <w:rsid w:val="06CF55DD"/>
    <w:rsid w:val="06D93677"/>
    <w:rsid w:val="06DC2CC2"/>
    <w:rsid w:val="06ED4438"/>
    <w:rsid w:val="06F106B0"/>
    <w:rsid w:val="06F24B83"/>
    <w:rsid w:val="06FE3B7C"/>
    <w:rsid w:val="07055F58"/>
    <w:rsid w:val="07067DDA"/>
    <w:rsid w:val="0715799E"/>
    <w:rsid w:val="071C4AA8"/>
    <w:rsid w:val="071D51E0"/>
    <w:rsid w:val="07200B1F"/>
    <w:rsid w:val="072235FE"/>
    <w:rsid w:val="07314B23"/>
    <w:rsid w:val="0733297B"/>
    <w:rsid w:val="073D01A3"/>
    <w:rsid w:val="07432582"/>
    <w:rsid w:val="074C7146"/>
    <w:rsid w:val="075011E0"/>
    <w:rsid w:val="075027E5"/>
    <w:rsid w:val="07504E5F"/>
    <w:rsid w:val="076D1048"/>
    <w:rsid w:val="076F45F8"/>
    <w:rsid w:val="077025F9"/>
    <w:rsid w:val="07856D45"/>
    <w:rsid w:val="0786302B"/>
    <w:rsid w:val="078A0167"/>
    <w:rsid w:val="07987AE2"/>
    <w:rsid w:val="079D2D60"/>
    <w:rsid w:val="07B159AE"/>
    <w:rsid w:val="07BC5239"/>
    <w:rsid w:val="07C449AD"/>
    <w:rsid w:val="07C57B7E"/>
    <w:rsid w:val="07C77B5F"/>
    <w:rsid w:val="07CD2F21"/>
    <w:rsid w:val="07CE024D"/>
    <w:rsid w:val="07D06432"/>
    <w:rsid w:val="07D13306"/>
    <w:rsid w:val="07E760EB"/>
    <w:rsid w:val="07FB1DB7"/>
    <w:rsid w:val="07FB23A3"/>
    <w:rsid w:val="0802376C"/>
    <w:rsid w:val="08042923"/>
    <w:rsid w:val="0806218A"/>
    <w:rsid w:val="080B754F"/>
    <w:rsid w:val="0815227E"/>
    <w:rsid w:val="08196CC3"/>
    <w:rsid w:val="0822318C"/>
    <w:rsid w:val="08396E3B"/>
    <w:rsid w:val="083C0B5B"/>
    <w:rsid w:val="08432CE6"/>
    <w:rsid w:val="08445460"/>
    <w:rsid w:val="08455A00"/>
    <w:rsid w:val="08531C3B"/>
    <w:rsid w:val="085564F6"/>
    <w:rsid w:val="086A7150"/>
    <w:rsid w:val="086C1A94"/>
    <w:rsid w:val="087D73F7"/>
    <w:rsid w:val="0886622F"/>
    <w:rsid w:val="08986AF7"/>
    <w:rsid w:val="089D4D06"/>
    <w:rsid w:val="08A022FC"/>
    <w:rsid w:val="08A904A2"/>
    <w:rsid w:val="08AC7EF1"/>
    <w:rsid w:val="08B96D86"/>
    <w:rsid w:val="08BD2793"/>
    <w:rsid w:val="08CB23F7"/>
    <w:rsid w:val="08DE390D"/>
    <w:rsid w:val="08EA141A"/>
    <w:rsid w:val="08ED6AEB"/>
    <w:rsid w:val="08F97307"/>
    <w:rsid w:val="08FD2A7E"/>
    <w:rsid w:val="09076BD5"/>
    <w:rsid w:val="091579E9"/>
    <w:rsid w:val="0939478A"/>
    <w:rsid w:val="09460B5B"/>
    <w:rsid w:val="094C1E52"/>
    <w:rsid w:val="094F5C09"/>
    <w:rsid w:val="096007CB"/>
    <w:rsid w:val="09623294"/>
    <w:rsid w:val="096D1D5A"/>
    <w:rsid w:val="096E247E"/>
    <w:rsid w:val="09744BB0"/>
    <w:rsid w:val="09805B51"/>
    <w:rsid w:val="098103F7"/>
    <w:rsid w:val="09826F36"/>
    <w:rsid w:val="09883865"/>
    <w:rsid w:val="098D5815"/>
    <w:rsid w:val="09957297"/>
    <w:rsid w:val="09977FFC"/>
    <w:rsid w:val="099F7C8D"/>
    <w:rsid w:val="09A104E4"/>
    <w:rsid w:val="09A84278"/>
    <w:rsid w:val="09AA603B"/>
    <w:rsid w:val="09C0632E"/>
    <w:rsid w:val="09C87690"/>
    <w:rsid w:val="09D16C47"/>
    <w:rsid w:val="09D35F14"/>
    <w:rsid w:val="09D75628"/>
    <w:rsid w:val="09E35B78"/>
    <w:rsid w:val="09E550A0"/>
    <w:rsid w:val="09F86C10"/>
    <w:rsid w:val="0A061060"/>
    <w:rsid w:val="0A07587D"/>
    <w:rsid w:val="0A0E6487"/>
    <w:rsid w:val="0A254F4C"/>
    <w:rsid w:val="0A264A0E"/>
    <w:rsid w:val="0A30344F"/>
    <w:rsid w:val="0A3A2090"/>
    <w:rsid w:val="0A3D6AB3"/>
    <w:rsid w:val="0A423553"/>
    <w:rsid w:val="0A47281E"/>
    <w:rsid w:val="0A5A1707"/>
    <w:rsid w:val="0A5F0F42"/>
    <w:rsid w:val="0A66336E"/>
    <w:rsid w:val="0A685057"/>
    <w:rsid w:val="0A6857CF"/>
    <w:rsid w:val="0A752F81"/>
    <w:rsid w:val="0A797081"/>
    <w:rsid w:val="0A882994"/>
    <w:rsid w:val="0A925B4C"/>
    <w:rsid w:val="0A9E77BB"/>
    <w:rsid w:val="0A9F404F"/>
    <w:rsid w:val="0AA3275D"/>
    <w:rsid w:val="0AA421A3"/>
    <w:rsid w:val="0AA94E67"/>
    <w:rsid w:val="0AB34EE4"/>
    <w:rsid w:val="0AC12157"/>
    <w:rsid w:val="0AC278F7"/>
    <w:rsid w:val="0AC318BC"/>
    <w:rsid w:val="0AC62542"/>
    <w:rsid w:val="0AC6534B"/>
    <w:rsid w:val="0ACB6E41"/>
    <w:rsid w:val="0ACD2E97"/>
    <w:rsid w:val="0ACE756C"/>
    <w:rsid w:val="0AD32EDA"/>
    <w:rsid w:val="0AD952BC"/>
    <w:rsid w:val="0ADA010B"/>
    <w:rsid w:val="0ADA7941"/>
    <w:rsid w:val="0ADB133F"/>
    <w:rsid w:val="0AEB1800"/>
    <w:rsid w:val="0AF54206"/>
    <w:rsid w:val="0AF60822"/>
    <w:rsid w:val="0AF675B8"/>
    <w:rsid w:val="0AF73053"/>
    <w:rsid w:val="0AFB7E77"/>
    <w:rsid w:val="0B025191"/>
    <w:rsid w:val="0B0A0955"/>
    <w:rsid w:val="0B141AD9"/>
    <w:rsid w:val="0B224BFA"/>
    <w:rsid w:val="0B271CAB"/>
    <w:rsid w:val="0B2F10D5"/>
    <w:rsid w:val="0B2F2A74"/>
    <w:rsid w:val="0B311ED9"/>
    <w:rsid w:val="0B3214A7"/>
    <w:rsid w:val="0B3678C4"/>
    <w:rsid w:val="0B3E3B7E"/>
    <w:rsid w:val="0B52373E"/>
    <w:rsid w:val="0B530242"/>
    <w:rsid w:val="0B5D195B"/>
    <w:rsid w:val="0B6311E6"/>
    <w:rsid w:val="0B682E77"/>
    <w:rsid w:val="0B6A2741"/>
    <w:rsid w:val="0B6D765B"/>
    <w:rsid w:val="0B7000C2"/>
    <w:rsid w:val="0B707FC8"/>
    <w:rsid w:val="0B732B74"/>
    <w:rsid w:val="0B883821"/>
    <w:rsid w:val="0B91670F"/>
    <w:rsid w:val="0B925CB6"/>
    <w:rsid w:val="0B9578AF"/>
    <w:rsid w:val="0BAA077F"/>
    <w:rsid w:val="0BB10F6E"/>
    <w:rsid w:val="0BB57F4F"/>
    <w:rsid w:val="0BBA46EB"/>
    <w:rsid w:val="0BBD5B9E"/>
    <w:rsid w:val="0BD513B8"/>
    <w:rsid w:val="0BD52D3F"/>
    <w:rsid w:val="0BE15220"/>
    <w:rsid w:val="0BE300B2"/>
    <w:rsid w:val="0BE61F5F"/>
    <w:rsid w:val="0BF548A7"/>
    <w:rsid w:val="0BFC36BA"/>
    <w:rsid w:val="0C05221E"/>
    <w:rsid w:val="0C0E6017"/>
    <w:rsid w:val="0C11358A"/>
    <w:rsid w:val="0C14541F"/>
    <w:rsid w:val="0C1666D9"/>
    <w:rsid w:val="0C1A5322"/>
    <w:rsid w:val="0C1F7FE2"/>
    <w:rsid w:val="0C2377A8"/>
    <w:rsid w:val="0C2963E1"/>
    <w:rsid w:val="0C2C0EB2"/>
    <w:rsid w:val="0C3172C2"/>
    <w:rsid w:val="0C423309"/>
    <w:rsid w:val="0C475EBD"/>
    <w:rsid w:val="0C4D41F6"/>
    <w:rsid w:val="0C4F1A77"/>
    <w:rsid w:val="0C532F82"/>
    <w:rsid w:val="0C5C5F0C"/>
    <w:rsid w:val="0C5F4091"/>
    <w:rsid w:val="0C681A61"/>
    <w:rsid w:val="0C695EFB"/>
    <w:rsid w:val="0C6C3D30"/>
    <w:rsid w:val="0C703AA9"/>
    <w:rsid w:val="0C8534A1"/>
    <w:rsid w:val="0C8B632B"/>
    <w:rsid w:val="0C8F4A71"/>
    <w:rsid w:val="0C923A95"/>
    <w:rsid w:val="0C9364F3"/>
    <w:rsid w:val="0C952297"/>
    <w:rsid w:val="0C953C6F"/>
    <w:rsid w:val="0C967B14"/>
    <w:rsid w:val="0CA261FC"/>
    <w:rsid w:val="0CA44612"/>
    <w:rsid w:val="0CA503EF"/>
    <w:rsid w:val="0CB4178A"/>
    <w:rsid w:val="0CBA10E1"/>
    <w:rsid w:val="0CBC3DD3"/>
    <w:rsid w:val="0CD12600"/>
    <w:rsid w:val="0CE14B68"/>
    <w:rsid w:val="0CE32AFF"/>
    <w:rsid w:val="0CE37EF0"/>
    <w:rsid w:val="0CEC276C"/>
    <w:rsid w:val="0D042789"/>
    <w:rsid w:val="0D0509E8"/>
    <w:rsid w:val="0D145672"/>
    <w:rsid w:val="0D1464D0"/>
    <w:rsid w:val="0D162709"/>
    <w:rsid w:val="0D1A1532"/>
    <w:rsid w:val="0D1F6ACF"/>
    <w:rsid w:val="0D2B0CE3"/>
    <w:rsid w:val="0D2B56FE"/>
    <w:rsid w:val="0D2D7666"/>
    <w:rsid w:val="0D3B7A1E"/>
    <w:rsid w:val="0D430895"/>
    <w:rsid w:val="0D45601E"/>
    <w:rsid w:val="0D477F25"/>
    <w:rsid w:val="0D546F24"/>
    <w:rsid w:val="0D687B3F"/>
    <w:rsid w:val="0D6B5747"/>
    <w:rsid w:val="0D6F1AA3"/>
    <w:rsid w:val="0D7111F3"/>
    <w:rsid w:val="0D7B37FF"/>
    <w:rsid w:val="0D83171D"/>
    <w:rsid w:val="0D855686"/>
    <w:rsid w:val="0D86163D"/>
    <w:rsid w:val="0DA065E0"/>
    <w:rsid w:val="0DA20EEA"/>
    <w:rsid w:val="0DA70EF5"/>
    <w:rsid w:val="0DA91F51"/>
    <w:rsid w:val="0DA9517F"/>
    <w:rsid w:val="0DB55A6C"/>
    <w:rsid w:val="0DC73378"/>
    <w:rsid w:val="0DC861A6"/>
    <w:rsid w:val="0DC94A40"/>
    <w:rsid w:val="0DCA16F0"/>
    <w:rsid w:val="0DCC660D"/>
    <w:rsid w:val="0DD22559"/>
    <w:rsid w:val="0DDC3168"/>
    <w:rsid w:val="0DDD77C7"/>
    <w:rsid w:val="0DDE7590"/>
    <w:rsid w:val="0DEA69C0"/>
    <w:rsid w:val="0DF13E13"/>
    <w:rsid w:val="0DF41898"/>
    <w:rsid w:val="0DFB3FDA"/>
    <w:rsid w:val="0DFF6E23"/>
    <w:rsid w:val="0E0B2FCC"/>
    <w:rsid w:val="0E1421EB"/>
    <w:rsid w:val="0E1B15DF"/>
    <w:rsid w:val="0E236600"/>
    <w:rsid w:val="0E284CC1"/>
    <w:rsid w:val="0E2D222E"/>
    <w:rsid w:val="0E332026"/>
    <w:rsid w:val="0E342E47"/>
    <w:rsid w:val="0E3A5CF0"/>
    <w:rsid w:val="0E3E4ACC"/>
    <w:rsid w:val="0E407F37"/>
    <w:rsid w:val="0E4D55DF"/>
    <w:rsid w:val="0E58022C"/>
    <w:rsid w:val="0E5C4198"/>
    <w:rsid w:val="0E607F10"/>
    <w:rsid w:val="0E6F11CD"/>
    <w:rsid w:val="0E7329EE"/>
    <w:rsid w:val="0E7814DA"/>
    <w:rsid w:val="0E7E0571"/>
    <w:rsid w:val="0E885782"/>
    <w:rsid w:val="0E8B1D01"/>
    <w:rsid w:val="0E957225"/>
    <w:rsid w:val="0EAA48C6"/>
    <w:rsid w:val="0EAD1B90"/>
    <w:rsid w:val="0EB05292"/>
    <w:rsid w:val="0EBC6A17"/>
    <w:rsid w:val="0EDB0952"/>
    <w:rsid w:val="0EDB126F"/>
    <w:rsid w:val="0EDF7256"/>
    <w:rsid w:val="0EDF75F0"/>
    <w:rsid w:val="0EE34422"/>
    <w:rsid w:val="0EEC448F"/>
    <w:rsid w:val="0EF37F42"/>
    <w:rsid w:val="0EFA6253"/>
    <w:rsid w:val="0F0005DA"/>
    <w:rsid w:val="0F03625C"/>
    <w:rsid w:val="0F184203"/>
    <w:rsid w:val="0F2B4E31"/>
    <w:rsid w:val="0F2D7007"/>
    <w:rsid w:val="0F3543A8"/>
    <w:rsid w:val="0F3564A9"/>
    <w:rsid w:val="0F4F1013"/>
    <w:rsid w:val="0F545F14"/>
    <w:rsid w:val="0F600D9E"/>
    <w:rsid w:val="0F89485C"/>
    <w:rsid w:val="0F8F422A"/>
    <w:rsid w:val="0FA024A7"/>
    <w:rsid w:val="0FA3668E"/>
    <w:rsid w:val="0FA620DF"/>
    <w:rsid w:val="0FAB76D1"/>
    <w:rsid w:val="0FAC2925"/>
    <w:rsid w:val="0FB7313E"/>
    <w:rsid w:val="0FCE4254"/>
    <w:rsid w:val="0FE94A38"/>
    <w:rsid w:val="0FED6921"/>
    <w:rsid w:val="0FFB5805"/>
    <w:rsid w:val="100E5505"/>
    <w:rsid w:val="10125749"/>
    <w:rsid w:val="101546A4"/>
    <w:rsid w:val="101B075D"/>
    <w:rsid w:val="101B1B4A"/>
    <w:rsid w:val="101B73DF"/>
    <w:rsid w:val="101D436F"/>
    <w:rsid w:val="1022591F"/>
    <w:rsid w:val="10254590"/>
    <w:rsid w:val="10270A9C"/>
    <w:rsid w:val="104607C8"/>
    <w:rsid w:val="105174BB"/>
    <w:rsid w:val="105D2241"/>
    <w:rsid w:val="106C7FCA"/>
    <w:rsid w:val="1072478A"/>
    <w:rsid w:val="107410B1"/>
    <w:rsid w:val="10763460"/>
    <w:rsid w:val="107D7174"/>
    <w:rsid w:val="108302E2"/>
    <w:rsid w:val="10851D8C"/>
    <w:rsid w:val="10857989"/>
    <w:rsid w:val="1089014D"/>
    <w:rsid w:val="108933B6"/>
    <w:rsid w:val="10894878"/>
    <w:rsid w:val="108B46E1"/>
    <w:rsid w:val="10A11D28"/>
    <w:rsid w:val="10A552BD"/>
    <w:rsid w:val="10A71FE9"/>
    <w:rsid w:val="10AE7AE4"/>
    <w:rsid w:val="10B90B54"/>
    <w:rsid w:val="10BE075C"/>
    <w:rsid w:val="10C33870"/>
    <w:rsid w:val="10EF0C46"/>
    <w:rsid w:val="10F23F28"/>
    <w:rsid w:val="10F76F5E"/>
    <w:rsid w:val="10F918E2"/>
    <w:rsid w:val="10FB7437"/>
    <w:rsid w:val="11034398"/>
    <w:rsid w:val="1106640D"/>
    <w:rsid w:val="11083342"/>
    <w:rsid w:val="110E41AD"/>
    <w:rsid w:val="11106169"/>
    <w:rsid w:val="11113E76"/>
    <w:rsid w:val="11114D46"/>
    <w:rsid w:val="11185EC3"/>
    <w:rsid w:val="112A29F9"/>
    <w:rsid w:val="11316B50"/>
    <w:rsid w:val="114D2986"/>
    <w:rsid w:val="114E5C60"/>
    <w:rsid w:val="11523DC7"/>
    <w:rsid w:val="1154470E"/>
    <w:rsid w:val="116435FA"/>
    <w:rsid w:val="11693EC5"/>
    <w:rsid w:val="116D593D"/>
    <w:rsid w:val="116F5A00"/>
    <w:rsid w:val="117467F5"/>
    <w:rsid w:val="117C48F0"/>
    <w:rsid w:val="117D361B"/>
    <w:rsid w:val="118B54CA"/>
    <w:rsid w:val="119146F6"/>
    <w:rsid w:val="119A7B7E"/>
    <w:rsid w:val="119E7BED"/>
    <w:rsid w:val="11B62600"/>
    <w:rsid w:val="11B9673E"/>
    <w:rsid w:val="11BF4938"/>
    <w:rsid w:val="11C10B0E"/>
    <w:rsid w:val="11D93EEE"/>
    <w:rsid w:val="11DA3949"/>
    <w:rsid w:val="11DF756B"/>
    <w:rsid w:val="11EA45A4"/>
    <w:rsid w:val="11FE7C10"/>
    <w:rsid w:val="120B34DA"/>
    <w:rsid w:val="120B3D40"/>
    <w:rsid w:val="121B6FDF"/>
    <w:rsid w:val="121D4C47"/>
    <w:rsid w:val="121F3F3C"/>
    <w:rsid w:val="122003C4"/>
    <w:rsid w:val="12304515"/>
    <w:rsid w:val="12325F64"/>
    <w:rsid w:val="123D10B9"/>
    <w:rsid w:val="12523BA9"/>
    <w:rsid w:val="125B1C80"/>
    <w:rsid w:val="12697943"/>
    <w:rsid w:val="126C1EBE"/>
    <w:rsid w:val="12740E02"/>
    <w:rsid w:val="127E4141"/>
    <w:rsid w:val="128D61D6"/>
    <w:rsid w:val="12926166"/>
    <w:rsid w:val="129F08A2"/>
    <w:rsid w:val="129F3364"/>
    <w:rsid w:val="12A21C11"/>
    <w:rsid w:val="12AB1959"/>
    <w:rsid w:val="12AE0A18"/>
    <w:rsid w:val="12BD0531"/>
    <w:rsid w:val="12C8426C"/>
    <w:rsid w:val="12C97E66"/>
    <w:rsid w:val="12D20FFE"/>
    <w:rsid w:val="12D2460F"/>
    <w:rsid w:val="12D4390F"/>
    <w:rsid w:val="12EF64D2"/>
    <w:rsid w:val="130A254F"/>
    <w:rsid w:val="130C473B"/>
    <w:rsid w:val="131158D7"/>
    <w:rsid w:val="131349A5"/>
    <w:rsid w:val="13222128"/>
    <w:rsid w:val="134131F6"/>
    <w:rsid w:val="134B56E0"/>
    <w:rsid w:val="13692754"/>
    <w:rsid w:val="136A10B9"/>
    <w:rsid w:val="13827D7A"/>
    <w:rsid w:val="1383560C"/>
    <w:rsid w:val="1384189D"/>
    <w:rsid w:val="138469F4"/>
    <w:rsid w:val="13A75E69"/>
    <w:rsid w:val="13AA1E7E"/>
    <w:rsid w:val="13B377A2"/>
    <w:rsid w:val="13B6789A"/>
    <w:rsid w:val="13B90BCE"/>
    <w:rsid w:val="13CB5AE2"/>
    <w:rsid w:val="13D022DE"/>
    <w:rsid w:val="13D214E3"/>
    <w:rsid w:val="13D64FBB"/>
    <w:rsid w:val="13E96924"/>
    <w:rsid w:val="13F36A1C"/>
    <w:rsid w:val="13F95E3C"/>
    <w:rsid w:val="14021CF5"/>
    <w:rsid w:val="14054C57"/>
    <w:rsid w:val="14064BE7"/>
    <w:rsid w:val="141F4E13"/>
    <w:rsid w:val="14206EE7"/>
    <w:rsid w:val="1421233A"/>
    <w:rsid w:val="1427740A"/>
    <w:rsid w:val="144D1421"/>
    <w:rsid w:val="144F109F"/>
    <w:rsid w:val="14535871"/>
    <w:rsid w:val="14550A82"/>
    <w:rsid w:val="145579C9"/>
    <w:rsid w:val="14575FDD"/>
    <w:rsid w:val="14645D44"/>
    <w:rsid w:val="14652581"/>
    <w:rsid w:val="14660BB7"/>
    <w:rsid w:val="14677083"/>
    <w:rsid w:val="14681A9C"/>
    <w:rsid w:val="14782096"/>
    <w:rsid w:val="147F4730"/>
    <w:rsid w:val="148822D9"/>
    <w:rsid w:val="149508EB"/>
    <w:rsid w:val="14991185"/>
    <w:rsid w:val="149E3CD4"/>
    <w:rsid w:val="14AF4D56"/>
    <w:rsid w:val="14C0691C"/>
    <w:rsid w:val="14C10ECE"/>
    <w:rsid w:val="14C1736B"/>
    <w:rsid w:val="14C774B0"/>
    <w:rsid w:val="14C84090"/>
    <w:rsid w:val="14D439FB"/>
    <w:rsid w:val="14DF606D"/>
    <w:rsid w:val="14E228D4"/>
    <w:rsid w:val="14E459E4"/>
    <w:rsid w:val="14EC18EE"/>
    <w:rsid w:val="14F21ACA"/>
    <w:rsid w:val="14F50380"/>
    <w:rsid w:val="14FD4294"/>
    <w:rsid w:val="15045340"/>
    <w:rsid w:val="150A12C5"/>
    <w:rsid w:val="15194BFF"/>
    <w:rsid w:val="151C283D"/>
    <w:rsid w:val="151F2273"/>
    <w:rsid w:val="152474C3"/>
    <w:rsid w:val="15261FCA"/>
    <w:rsid w:val="15276771"/>
    <w:rsid w:val="152A53ED"/>
    <w:rsid w:val="152A71C0"/>
    <w:rsid w:val="153B6CE5"/>
    <w:rsid w:val="154656CD"/>
    <w:rsid w:val="15486D5F"/>
    <w:rsid w:val="15532A09"/>
    <w:rsid w:val="155915BC"/>
    <w:rsid w:val="15697EA8"/>
    <w:rsid w:val="157770C6"/>
    <w:rsid w:val="157D4880"/>
    <w:rsid w:val="157E2816"/>
    <w:rsid w:val="15803B97"/>
    <w:rsid w:val="15820A8B"/>
    <w:rsid w:val="1583064B"/>
    <w:rsid w:val="15866694"/>
    <w:rsid w:val="159030E9"/>
    <w:rsid w:val="15933D7E"/>
    <w:rsid w:val="159A3918"/>
    <w:rsid w:val="159B1A50"/>
    <w:rsid w:val="15A91378"/>
    <w:rsid w:val="15AA363D"/>
    <w:rsid w:val="15AF4619"/>
    <w:rsid w:val="15B004DB"/>
    <w:rsid w:val="15B546F6"/>
    <w:rsid w:val="15B803AD"/>
    <w:rsid w:val="15B81AA1"/>
    <w:rsid w:val="15BB0972"/>
    <w:rsid w:val="15BD3C87"/>
    <w:rsid w:val="15C26749"/>
    <w:rsid w:val="15C97D41"/>
    <w:rsid w:val="15D1186A"/>
    <w:rsid w:val="15D2611D"/>
    <w:rsid w:val="15E00AA2"/>
    <w:rsid w:val="15E22314"/>
    <w:rsid w:val="15EC6504"/>
    <w:rsid w:val="15FC2996"/>
    <w:rsid w:val="16022A92"/>
    <w:rsid w:val="160244BD"/>
    <w:rsid w:val="16081BF4"/>
    <w:rsid w:val="160C251D"/>
    <w:rsid w:val="160F1603"/>
    <w:rsid w:val="161A7C3A"/>
    <w:rsid w:val="161C3391"/>
    <w:rsid w:val="161F245E"/>
    <w:rsid w:val="16205312"/>
    <w:rsid w:val="162734C1"/>
    <w:rsid w:val="1630137B"/>
    <w:rsid w:val="163120E8"/>
    <w:rsid w:val="1637285A"/>
    <w:rsid w:val="1637652B"/>
    <w:rsid w:val="164B22EC"/>
    <w:rsid w:val="16545243"/>
    <w:rsid w:val="16565820"/>
    <w:rsid w:val="165F3DA3"/>
    <w:rsid w:val="16661E34"/>
    <w:rsid w:val="16672CDE"/>
    <w:rsid w:val="166C5849"/>
    <w:rsid w:val="166C7748"/>
    <w:rsid w:val="166C7983"/>
    <w:rsid w:val="166F396B"/>
    <w:rsid w:val="167057CF"/>
    <w:rsid w:val="16724459"/>
    <w:rsid w:val="16852FB7"/>
    <w:rsid w:val="168919EE"/>
    <w:rsid w:val="168E736C"/>
    <w:rsid w:val="16917974"/>
    <w:rsid w:val="169A77F7"/>
    <w:rsid w:val="16A04193"/>
    <w:rsid w:val="16AD6524"/>
    <w:rsid w:val="16AF2006"/>
    <w:rsid w:val="16B05647"/>
    <w:rsid w:val="16B25684"/>
    <w:rsid w:val="16B26B82"/>
    <w:rsid w:val="16BF439D"/>
    <w:rsid w:val="16D35C7E"/>
    <w:rsid w:val="16DA3D2C"/>
    <w:rsid w:val="16DB6096"/>
    <w:rsid w:val="16DC1665"/>
    <w:rsid w:val="16E02138"/>
    <w:rsid w:val="16E41F7D"/>
    <w:rsid w:val="16EF280A"/>
    <w:rsid w:val="16F4140F"/>
    <w:rsid w:val="170132F1"/>
    <w:rsid w:val="17132C3E"/>
    <w:rsid w:val="17220EDD"/>
    <w:rsid w:val="1728377A"/>
    <w:rsid w:val="172D5AD4"/>
    <w:rsid w:val="1731051F"/>
    <w:rsid w:val="173218A7"/>
    <w:rsid w:val="173550AE"/>
    <w:rsid w:val="173D742F"/>
    <w:rsid w:val="17457E73"/>
    <w:rsid w:val="1747357E"/>
    <w:rsid w:val="174A5733"/>
    <w:rsid w:val="174D1D91"/>
    <w:rsid w:val="174F6D7D"/>
    <w:rsid w:val="17583C78"/>
    <w:rsid w:val="175A59F0"/>
    <w:rsid w:val="176016A3"/>
    <w:rsid w:val="17615084"/>
    <w:rsid w:val="176659D5"/>
    <w:rsid w:val="176D73A0"/>
    <w:rsid w:val="177141C1"/>
    <w:rsid w:val="17740EEC"/>
    <w:rsid w:val="17831431"/>
    <w:rsid w:val="17855641"/>
    <w:rsid w:val="178768C2"/>
    <w:rsid w:val="178A00E9"/>
    <w:rsid w:val="178D0353"/>
    <w:rsid w:val="178D22D4"/>
    <w:rsid w:val="17985BFA"/>
    <w:rsid w:val="179A4B3A"/>
    <w:rsid w:val="179A5949"/>
    <w:rsid w:val="179B70D2"/>
    <w:rsid w:val="179D75D2"/>
    <w:rsid w:val="17A259B8"/>
    <w:rsid w:val="17A33B5C"/>
    <w:rsid w:val="17A8709B"/>
    <w:rsid w:val="17AC740F"/>
    <w:rsid w:val="17B06FBC"/>
    <w:rsid w:val="17C47BED"/>
    <w:rsid w:val="17C6117F"/>
    <w:rsid w:val="17C83FA1"/>
    <w:rsid w:val="17CC7D77"/>
    <w:rsid w:val="17E308EA"/>
    <w:rsid w:val="17F13B56"/>
    <w:rsid w:val="17F47E54"/>
    <w:rsid w:val="17F81E3A"/>
    <w:rsid w:val="18045DCA"/>
    <w:rsid w:val="180771BA"/>
    <w:rsid w:val="18100547"/>
    <w:rsid w:val="182119B8"/>
    <w:rsid w:val="18227498"/>
    <w:rsid w:val="183207E2"/>
    <w:rsid w:val="18327374"/>
    <w:rsid w:val="1835740A"/>
    <w:rsid w:val="184C6FDF"/>
    <w:rsid w:val="18532CA8"/>
    <w:rsid w:val="185A6E7C"/>
    <w:rsid w:val="185B0375"/>
    <w:rsid w:val="185B080E"/>
    <w:rsid w:val="1861619D"/>
    <w:rsid w:val="18634B91"/>
    <w:rsid w:val="18730A0F"/>
    <w:rsid w:val="18735507"/>
    <w:rsid w:val="189C78D9"/>
    <w:rsid w:val="189D1770"/>
    <w:rsid w:val="189D70F1"/>
    <w:rsid w:val="18A01D5F"/>
    <w:rsid w:val="18A05CE8"/>
    <w:rsid w:val="18A409B7"/>
    <w:rsid w:val="18AE2FDE"/>
    <w:rsid w:val="18B179F8"/>
    <w:rsid w:val="18B21715"/>
    <w:rsid w:val="18BA5D9A"/>
    <w:rsid w:val="18BF730D"/>
    <w:rsid w:val="18CB4BF5"/>
    <w:rsid w:val="18CD0516"/>
    <w:rsid w:val="18E532C7"/>
    <w:rsid w:val="18ED7C5B"/>
    <w:rsid w:val="19173C8F"/>
    <w:rsid w:val="19186DE8"/>
    <w:rsid w:val="19196539"/>
    <w:rsid w:val="19231489"/>
    <w:rsid w:val="19261353"/>
    <w:rsid w:val="192F0DDA"/>
    <w:rsid w:val="1934018D"/>
    <w:rsid w:val="193C50A5"/>
    <w:rsid w:val="193F234A"/>
    <w:rsid w:val="19410B0E"/>
    <w:rsid w:val="194E6146"/>
    <w:rsid w:val="19574A01"/>
    <w:rsid w:val="19575091"/>
    <w:rsid w:val="195B1299"/>
    <w:rsid w:val="196037AE"/>
    <w:rsid w:val="196B1FC4"/>
    <w:rsid w:val="19701E1F"/>
    <w:rsid w:val="1971341D"/>
    <w:rsid w:val="19840617"/>
    <w:rsid w:val="1984446C"/>
    <w:rsid w:val="19A14128"/>
    <w:rsid w:val="19A5396C"/>
    <w:rsid w:val="19A56815"/>
    <w:rsid w:val="19AF2131"/>
    <w:rsid w:val="19BC45E1"/>
    <w:rsid w:val="19C05060"/>
    <w:rsid w:val="19C07195"/>
    <w:rsid w:val="19CD249B"/>
    <w:rsid w:val="19D361C5"/>
    <w:rsid w:val="19D80C63"/>
    <w:rsid w:val="19DB76E1"/>
    <w:rsid w:val="19EE4E90"/>
    <w:rsid w:val="1A0143FE"/>
    <w:rsid w:val="1A030EAA"/>
    <w:rsid w:val="1A064BCB"/>
    <w:rsid w:val="1A095DF7"/>
    <w:rsid w:val="1A143A4E"/>
    <w:rsid w:val="1A175079"/>
    <w:rsid w:val="1A18624D"/>
    <w:rsid w:val="1A220B77"/>
    <w:rsid w:val="1A245841"/>
    <w:rsid w:val="1A374D54"/>
    <w:rsid w:val="1A43313D"/>
    <w:rsid w:val="1A56701E"/>
    <w:rsid w:val="1A660727"/>
    <w:rsid w:val="1A696ED2"/>
    <w:rsid w:val="1A6A607E"/>
    <w:rsid w:val="1A700515"/>
    <w:rsid w:val="1A790591"/>
    <w:rsid w:val="1A793538"/>
    <w:rsid w:val="1A793C5C"/>
    <w:rsid w:val="1A7A34F7"/>
    <w:rsid w:val="1A7B702B"/>
    <w:rsid w:val="1A7C7029"/>
    <w:rsid w:val="1A922F2B"/>
    <w:rsid w:val="1AA37D61"/>
    <w:rsid w:val="1AAA163F"/>
    <w:rsid w:val="1AAD50CF"/>
    <w:rsid w:val="1AB11E89"/>
    <w:rsid w:val="1AB34323"/>
    <w:rsid w:val="1AC314D0"/>
    <w:rsid w:val="1AC70220"/>
    <w:rsid w:val="1AC74C56"/>
    <w:rsid w:val="1AC82D1E"/>
    <w:rsid w:val="1AC84525"/>
    <w:rsid w:val="1ACA3CBC"/>
    <w:rsid w:val="1AE1506F"/>
    <w:rsid w:val="1AE37BD3"/>
    <w:rsid w:val="1AEE76C2"/>
    <w:rsid w:val="1AF15F9A"/>
    <w:rsid w:val="1AFC230B"/>
    <w:rsid w:val="1B0674F0"/>
    <w:rsid w:val="1B0A12BF"/>
    <w:rsid w:val="1B0E4A1F"/>
    <w:rsid w:val="1B0E7E87"/>
    <w:rsid w:val="1B2155F4"/>
    <w:rsid w:val="1B2B19C9"/>
    <w:rsid w:val="1B2F6208"/>
    <w:rsid w:val="1B326279"/>
    <w:rsid w:val="1B3F42C3"/>
    <w:rsid w:val="1B3F4BF9"/>
    <w:rsid w:val="1B484201"/>
    <w:rsid w:val="1B574714"/>
    <w:rsid w:val="1B5831F4"/>
    <w:rsid w:val="1B5C3678"/>
    <w:rsid w:val="1B605BCE"/>
    <w:rsid w:val="1B817EED"/>
    <w:rsid w:val="1B84058B"/>
    <w:rsid w:val="1B856125"/>
    <w:rsid w:val="1B891C13"/>
    <w:rsid w:val="1B8F701B"/>
    <w:rsid w:val="1B9933E4"/>
    <w:rsid w:val="1B9C422D"/>
    <w:rsid w:val="1BA45CC0"/>
    <w:rsid w:val="1BB2233D"/>
    <w:rsid w:val="1BC3448F"/>
    <w:rsid w:val="1BC62BE6"/>
    <w:rsid w:val="1BCE6255"/>
    <w:rsid w:val="1BD25A30"/>
    <w:rsid w:val="1BD85059"/>
    <w:rsid w:val="1BDA55FC"/>
    <w:rsid w:val="1BE07266"/>
    <w:rsid w:val="1BE70E22"/>
    <w:rsid w:val="1BF276EB"/>
    <w:rsid w:val="1C015ED3"/>
    <w:rsid w:val="1C0279DD"/>
    <w:rsid w:val="1C050CB2"/>
    <w:rsid w:val="1C120D38"/>
    <w:rsid w:val="1C221F14"/>
    <w:rsid w:val="1C235FCC"/>
    <w:rsid w:val="1C307ACD"/>
    <w:rsid w:val="1C356C65"/>
    <w:rsid w:val="1C3628B6"/>
    <w:rsid w:val="1C3B00A2"/>
    <w:rsid w:val="1C620B60"/>
    <w:rsid w:val="1C656650"/>
    <w:rsid w:val="1C672992"/>
    <w:rsid w:val="1C6C038C"/>
    <w:rsid w:val="1C6F30A9"/>
    <w:rsid w:val="1C771462"/>
    <w:rsid w:val="1C7B3010"/>
    <w:rsid w:val="1C7C7EF6"/>
    <w:rsid w:val="1C7F174C"/>
    <w:rsid w:val="1C7F637E"/>
    <w:rsid w:val="1C8F0E42"/>
    <w:rsid w:val="1C97717D"/>
    <w:rsid w:val="1C9A6796"/>
    <w:rsid w:val="1C9C2BE7"/>
    <w:rsid w:val="1C9E5FA5"/>
    <w:rsid w:val="1CA22510"/>
    <w:rsid w:val="1CA276A5"/>
    <w:rsid w:val="1CAD604B"/>
    <w:rsid w:val="1CCD3D9A"/>
    <w:rsid w:val="1CD33D9E"/>
    <w:rsid w:val="1CE96C21"/>
    <w:rsid w:val="1CEE2AFF"/>
    <w:rsid w:val="1CFE6290"/>
    <w:rsid w:val="1D01581E"/>
    <w:rsid w:val="1D017DC6"/>
    <w:rsid w:val="1D106DB4"/>
    <w:rsid w:val="1D115648"/>
    <w:rsid w:val="1D135EB2"/>
    <w:rsid w:val="1D1D0F08"/>
    <w:rsid w:val="1D331A5A"/>
    <w:rsid w:val="1D492035"/>
    <w:rsid w:val="1D4F17D3"/>
    <w:rsid w:val="1D5F325E"/>
    <w:rsid w:val="1D657B93"/>
    <w:rsid w:val="1D712874"/>
    <w:rsid w:val="1D810738"/>
    <w:rsid w:val="1D931877"/>
    <w:rsid w:val="1D9A48B9"/>
    <w:rsid w:val="1DA2007D"/>
    <w:rsid w:val="1DAE124E"/>
    <w:rsid w:val="1DBB147D"/>
    <w:rsid w:val="1DBD44B1"/>
    <w:rsid w:val="1DCB27BE"/>
    <w:rsid w:val="1DCC2003"/>
    <w:rsid w:val="1DD20182"/>
    <w:rsid w:val="1DD46944"/>
    <w:rsid w:val="1DD711B0"/>
    <w:rsid w:val="1DDB339D"/>
    <w:rsid w:val="1DDB3BFF"/>
    <w:rsid w:val="1DDE2AA4"/>
    <w:rsid w:val="1DDF2DBA"/>
    <w:rsid w:val="1DDF5AAD"/>
    <w:rsid w:val="1DE16435"/>
    <w:rsid w:val="1DE70511"/>
    <w:rsid w:val="1DE80E88"/>
    <w:rsid w:val="1DEF312F"/>
    <w:rsid w:val="1DF04D87"/>
    <w:rsid w:val="1DF51A0E"/>
    <w:rsid w:val="1E1961C9"/>
    <w:rsid w:val="1E1E7989"/>
    <w:rsid w:val="1E233002"/>
    <w:rsid w:val="1E263E7F"/>
    <w:rsid w:val="1E3173A3"/>
    <w:rsid w:val="1E3176B3"/>
    <w:rsid w:val="1E392E4C"/>
    <w:rsid w:val="1E3C6CD7"/>
    <w:rsid w:val="1E3D06DA"/>
    <w:rsid w:val="1E3E497C"/>
    <w:rsid w:val="1E447596"/>
    <w:rsid w:val="1E455876"/>
    <w:rsid w:val="1E5049A5"/>
    <w:rsid w:val="1E5729AA"/>
    <w:rsid w:val="1E590E8F"/>
    <w:rsid w:val="1E5B61CE"/>
    <w:rsid w:val="1E5B64E7"/>
    <w:rsid w:val="1E5E6015"/>
    <w:rsid w:val="1E600DAE"/>
    <w:rsid w:val="1E6347A1"/>
    <w:rsid w:val="1E641458"/>
    <w:rsid w:val="1E693B34"/>
    <w:rsid w:val="1E6C5CDE"/>
    <w:rsid w:val="1E8B1CC9"/>
    <w:rsid w:val="1E996C74"/>
    <w:rsid w:val="1EA913A5"/>
    <w:rsid w:val="1EC841FC"/>
    <w:rsid w:val="1ECC2660"/>
    <w:rsid w:val="1ED40C2A"/>
    <w:rsid w:val="1ED631A5"/>
    <w:rsid w:val="1EDC139E"/>
    <w:rsid w:val="1EEC0D44"/>
    <w:rsid w:val="1EF778E7"/>
    <w:rsid w:val="1EFF723F"/>
    <w:rsid w:val="1F1D16D5"/>
    <w:rsid w:val="1F206B94"/>
    <w:rsid w:val="1F275CA1"/>
    <w:rsid w:val="1F374BFF"/>
    <w:rsid w:val="1F391DAB"/>
    <w:rsid w:val="1F3A0E31"/>
    <w:rsid w:val="1F3A5DE3"/>
    <w:rsid w:val="1F3F5736"/>
    <w:rsid w:val="1F450A4E"/>
    <w:rsid w:val="1F4A3338"/>
    <w:rsid w:val="1F545FA5"/>
    <w:rsid w:val="1F5C5C84"/>
    <w:rsid w:val="1F635C65"/>
    <w:rsid w:val="1F705ACF"/>
    <w:rsid w:val="1F71571E"/>
    <w:rsid w:val="1F733767"/>
    <w:rsid w:val="1F744649"/>
    <w:rsid w:val="1F815516"/>
    <w:rsid w:val="1F86390D"/>
    <w:rsid w:val="1F882964"/>
    <w:rsid w:val="1F8D73C1"/>
    <w:rsid w:val="1F8E7566"/>
    <w:rsid w:val="1F9121CB"/>
    <w:rsid w:val="1F92203A"/>
    <w:rsid w:val="1F954179"/>
    <w:rsid w:val="1F99426F"/>
    <w:rsid w:val="1F9B3563"/>
    <w:rsid w:val="1F9B502F"/>
    <w:rsid w:val="1F9E7125"/>
    <w:rsid w:val="1FA26E84"/>
    <w:rsid w:val="1FAE3895"/>
    <w:rsid w:val="1FB56D14"/>
    <w:rsid w:val="1FCA7FBB"/>
    <w:rsid w:val="1FCD3FEC"/>
    <w:rsid w:val="1FD142A0"/>
    <w:rsid w:val="1FD47FE6"/>
    <w:rsid w:val="1FD75022"/>
    <w:rsid w:val="1FDE240D"/>
    <w:rsid w:val="1FDF54BA"/>
    <w:rsid w:val="1FE15AC5"/>
    <w:rsid w:val="1FE71B59"/>
    <w:rsid w:val="1FEA07DA"/>
    <w:rsid w:val="20137E08"/>
    <w:rsid w:val="201750C2"/>
    <w:rsid w:val="201A2F6B"/>
    <w:rsid w:val="201F5F2A"/>
    <w:rsid w:val="202E12AF"/>
    <w:rsid w:val="202E310A"/>
    <w:rsid w:val="202F0734"/>
    <w:rsid w:val="203C2482"/>
    <w:rsid w:val="203D3362"/>
    <w:rsid w:val="20401DDA"/>
    <w:rsid w:val="20445FB2"/>
    <w:rsid w:val="20471168"/>
    <w:rsid w:val="204F389B"/>
    <w:rsid w:val="20612954"/>
    <w:rsid w:val="2065697A"/>
    <w:rsid w:val="20716F41"/>
    <w:rsid w:val="208867BF"/>
    <w:rsid w:val="208C0E78"/>
    <w:rsid w:val="208E381B"/>
    <w:rsid w:val="20926D93"/>
    <w:rsid w:val="209915A7"/>
    <w:rsid w:val="209A78AC"/>
    <w:rsid w:val="20A43132"/>
    <w:rsid w:val="20A62C48"/>
    <w:rsid w:val="20A9180B"/>
    <w:rsid w:val="20AB72BC"/>
    <w:rsid w:val="20B24C6C"/>
    <w:rsid w:val="20B440E3"/>
    <w:rsid w:val="20BB0F40"/>
    <w:rsid w:val="20C41BB8"/>
    <w:rsid w:val="20D71DFB"/>
    <w:rsid w:val="20E019DD"/>
    <w:rsid w:val="20E16D3B"/>
    <w:rsid w:val="20EB00E1"/>
    <w:rsid w:val="20F40E34"/>
    <w:rsid w:val="211B6D33"/>
    <w:rsid w:val="211D19D0"/>
    <w:rsid w:val="21250114"/>
    <w:rsid w:val="21297174"/>
    <w:rsid w:val="212E2ECB"/>
    <w:rsid w:val="21315024"/>
    <w:rsid w:val="213542FC"/>
    <w:rsid w:val="213F32E7"/>
    <w:rsid w:val="21405B55"/>
    <w:rsid w:val="21412CD5"/>
    <w:rsid w:val="21434FC6"/>
    <w:rsid w:val="214841AB"/>
    <w:rsid w:val="214C7F15"/>
    <w:rsid w:val="214E25F6"/>
    <w:rsid w:val="21512C01"/>
    <w:rsid w:val="215602D8"/>
    <w:rsid w:val="21562173"/>
    <w:rsid w:val="21611DFF"/>
    <w:rsid w:val="21656F5B"/>
    <w:rsid w:val="216765D5"/>
    <w:rsid w:val="21693789"/>
    <w:rsid w:val="216E241F"/>
    <w:rsid w:val="217055F8"/>
    <w:rsid w:val="21721DBF"/>
    <w:rsid w:val="21791458"/>
    <w:rsid w:val="217962C0"/>
    <w:rsid w:val="218912A4"/>
    <w:rsid w:val="218C7CC2"/>
    <w:rsid w:val="218E38B3"/>
    <w:rsid w:val="21904E77"/>
    <w:rsid w:val="21950EA8"/>
    <w:rsid w:val="2197576F"/>
    <w:rsid w:val="219979F3"/>
    <w:rsid w:val="219D08AB"/>
    <w:rsid w:val="219E222B"/>
    <w:rsid w:val="21A651EA"/>
    <w:rsid w:val="21A72147"/>
    <w:rsid w:val="21AC2E21"/>
    <w:rsid w:val="21B026EF"/>
    <w:rsid w:val="21B372CB"/>
    <w:rsid w:val="21B50845"/>
    <w:rsid w:val="21BB7814"/>
    <w:rsid w:val="21C14104"/>
    <w:rsid w:val="21CF5EF9"/>
    <w:rsid w:val="21D82C46"/>
    <w:rsid w:val="21DD2A27"/>
    <w:rsid w:val="21E356E1"/>
    <w:rsid w:val="21ED189E"/>
    <w:rsid w:val="2200614A"/>
    <w:rsid w:val="2205171E"/>
    <w:rsid w:val="22074793"/>
    <w:rsid w:val="220A5715"/>
    <w:rsid w:val="22275842"/>
    <w:rsid w:val="222869F2"/>
    <w:rsid w:val="22290F2D"/>
    <w:rsid w:val="222F488B"/>
    <w:rsid w:val="223F1E4A"/>
    <w:rsid w:val="225118DF"/>
    <w:rsid w:val="22685930"/>
    <w:rsid w:val="227A3BF6"/>
    <w:rsid w:val="227F122F"/>
    <w:rsid w:val="22900F8D"/>
    <w:rsid w:val="229E387F"/>
    <w:rsid w:val="22B8599C"/>
    <w:rsid w:val="22C93E68"/>
    <w:rsid w:val="22D070C5"/>
    <w:rsid w:val="22D74F26"/>
    <w:rsid w:val="22E502F7"/>
    <w:rsid w:val="22E83222"/>
    <w:rsid w:val="22E8372B"/>
    <w:rsid w:val="22ED1BD9"/>
    <w:rsid w:val="22FA0211"/>
    <w:rsid w:val="23060945"/>
    <w:rsid w:val="230C5BAA"/>
    <w:rsid w:val="23121ED1"/>
    <w:rsid w:val="23192323"/>
    <w:rsid w:val="231C5D22"/>
    <w:rsid w:val="232628E4"/>
    <w:rsid w:val="2326659E"/>
    <w:rsid w:val="23385944"/>
    <w:rsid w:val="233A33F1"/>
    <w:rsid w:val="233D7484"/>
    <w:rsid w:val="23403BB8"/>
    <w:rsid w:val="23410B56"/>
    <w:rsid w:val="234851F6"/>
    <w:rsid w:val="234C65CA"/>
    <w:rsid w:val="23504E58"/>
    <w:rsid w:val="23533DAF"/>
    <w:rsid w:val="23572887"/>
    <w:rsid w:val="236561A4"/>
    <w:rsid w:val="2368290B"/>
    <w:rsid w:val="236E5541"/>
    <w:rsid w:val="238B1DEF"/>
    <w:rsid w:val="2395615A"/>
    <w:rsid w:val="239D0CFF"/>
    <w:rsid w:val="23A51F83"/>
    <w:rsid w:val="23B07E98"/>
    <w:rsid w:val="23BA2AA9"/>
    <w:rsid w:val="23C6058D"/>
    <w:rsid w:val="23C631BF"/>
    <w:rsid w:val="23C66CD8"/>
    <w:rsid w:val="23C95EAF"/>
    <w:rsid w:val="23CD191B"/>
    <w:rsid w:val="23D24E36"/>
    <w:rsid w:val="23D32D8D"/>
    <w:rsid w:val="23EB743B"/>
    <w:rsid w:val="23F5201B"/>
    <w:rsid w:val="23F74321"/>
    <w:rsid w:val="23FF72CF"/>
    <w:rsid w:val="2401569B"/>
    <w:rsid w:val="240864B0"/>
    <w:rsid w:val="2422654C"/>
    <w:rsid w:val="24260F4F"/>
    <w:rsid w:val="243D3D6B"/>
    <w:rsid w:val="244D1703"/>
    <w:rsid w:val="244D62AB"/>
    <w:rsid w:val="2457279D"/>
    <w:rsid w:val="245C4047"/>
    <w:rsid w:val="24693896"/>
    <w:rsid w:val="246E568B"/>
    <w:rsid w:val="247D5EE5"/>
    <w:rsid w:val="249A3E80"/>
    <w:rsid w:val="249F0594"/>
    <w:rsid w:val="24A14356"/>
    <w:rsid w:val="24A31916"/>
    <w:rsid w:val="24B6594B"/>
    <w:rsid w:val="24C130CD"/>
    <w:rsid w:val="24C736BB"/>
    <w:rsid w:val="24D1358B"/>
    <w:rsid w:val="24EC1FDE"/>
    <w:rsid w:val="24F0221D"/>
    <w:rsid w:val="24F42703"/>
    <w:rsid w:val="24FB4266"/>
    <w:rsid w:val="24FE3E6C"/>
    <w:rsid w:val="24FE7CB1"/>
    <w:rsid w:val="25021151"/>
    <w:rsid w:val="250433C7"/>
    <w:rsid w:val="250C1FD0"/>
    <w:rsid w:val="251260AB"/>
    <w:rsid w:val="252E6201"/>
    <w:rsid w:val="253B0B07"/>
    <w:rsid w:val="25443B2E"/>
    <w:rsid w:val="254629EA"/>
    <w:rsid w:val="2558082A"/>
    <w:rsid w:val="25584264"/>
    <w:rsid w:val="25596854"/>
    <w:rsid w:val="255D68C4"/>
    <w:rsid w:val="25600847"/>
    <w:rsid w:val="257953BD"/>
    <w:rsid w:val="258778A8"/>
    <w:rsid w:val="258F2C40"/>
    <w:rsid w:val="25915D14"/>
    <w:rsid w:val="25923280"/>
    <w:rsid w:val="2598625C"/>
    <w:rsid w:val="259E1181"/>
    <w:rsid w:val="25A11CE9"/>
    <w:rsid w:val="25A71439"/>
    <w:rsid w:val="25AD74B4"/>
    <w:rsid w:val="25AF2E67"/>
    <w:rsid w:val="25B359F0"/>
    <w:rsid w:val="25B60240"/>
    <w:rsid w:val="25BA5E34"/>
    <w:rsid w:val="25BC2A47"/>
    <w:rsid w:val="25C53206"/>
    <w:rsid w:val="25CE1DB0"/>
    <w:rsid w:val="25D94C45"/>
    <w:rsid w:val="25DE5C08"/>
    <w:rsid w:val="25E434D7"/>
    <w:rsid w:val="25E82A3D"/>
    <w:rsid w:val="25EC2763"/>
    <w:rsid w:val="25F860FF"/>
    <w:rsid w:val="25FA62CC"/>
    <w:rsid w:val="261346F7"/>
    <w:rsid w:val="261D0D40"/>
    <w:rsid w:val="261F1CF1"/>
    <w:rsid w:val="262A6CE9"/>
    <w:rsid w:val="26375E9D"/>
    <w:rsid w:val="263E64FF"/>
    <w:rsid w:val="26403CB6"/>
    <w:rsid w:val="265809AE"/>
    <w:rsid w:val="26590AF9"/>
    <w:rsid w:val="265A643D"/>
    <w:rsid w:val="265C1057"/>
    <w:rsid w:val="26666EC0"/>
    <w:rsid w:val="266974C2"/>
    <w:rsid w:val="266B45F1"/>
    <w:rsid w:val="266D7314"/>
    <w:rsid w:val="267650D0"/>
    <w:rsid w:val="26794E4A"/>
    <w:rsid w:val="267C38DE"/>
    <w:rsid w:val="267D12C6"/>
    <w:rsid w:val="268600A1"/>
    <w:rsid w:val="268A5B54"/>
    <w:rsid w:val="268D6071"/>
    <w:rsid w:val="26906845"/>
    <w:rsid w:val="26962615"/>
    <w:rsid w:val="26A1499A"/>
    <w:rsid w:val="26AD124D"/>
    <w:rsid w:val="26BE1F17"/>
    <w:rsid w:val="26BE281B"/>
    <w:rsid w:val="26C5387E"/>
    <w:rsid w:val="26C74722"/>
    <w:rsid w:val="26E47949"/>
    <w:rsid w:val="26E528C2"/>
    <w:rsid w:val="26EE1123"/>
    <w:rsid w:val="26F270BB"/>
    <w:rsid w:val="26FB6CC3"/>
    <w:rsid w:val="27057491"/>
    <w:rsid w:val="270910DE"/>
    <w:rsid w:val="27131025"/>
    <w:rsid w:val="27140985"/>
    <w:rsid w:val="271A476B"/>
    <w:rsid w:val="271C4BFE"/>
    <w:rsid w:val="27240656"/>
    <w:rsid w:val="272E3439"/>
    <w:rsid w:val="27304D15"/>
    <w:rsid w:val="27315D1D"/>
    <w:rsid w:val="273214D1"/>
    <w:rsid w:val="27347365"/>
    <w:rsid w:val="27351044"/>
    <w:rsid w:val="27387734"/>
    <w:rsid w:val="27387C2F"/>
    <w:rsid w:val="273F545F"/>
    <w:rsid w:val="274B2F03"/>
    <w:rsid w:val="27577D30"/>
    <w:rsid w:val="27683768"/>
    <w:rsid w:val="276A4ADC"/>
    <w:rsid w:val="276C31F9"/>
    <w:rsid w:val="277B4B2B"/>
    <w:rsid w:val="277D337C"/>
    <w:rsid w:val="277F69DD"/>
    <w:rsid w:val="278660B1"/>
    <w:rsid w:val="27884F95"/>
    <w:rsid w:val="27940669"/>
    <w:rsid w:val="27A111F1"/>
    <w:rsid w:val="27BA19B1"/>
    <w:rsid w:val="27BB3CFD"/>
    <w:rsid w:val="27CF47D5"/>
    <w:rsid w:val="27D02F3E"/>
    <w:rsid w:val="27D7106A"/>
    <w:rsid w:val="27DB2CC0"/>
    <w:rsid w:val="27DB2FEB"/>
    <w:rsid w:val="27EA157F"/>
    <w:rsid w:val="27F503F7"/>
    <w:rsid w:val="27F65397"/>
    <w:rsid w:val="27F747B4"/>
    <w:rsid w:val="28184BB8"/>
    <w:rsid w:val="281953BC"/>
    <w:rsid w:val="282B09BF"/>
    <w:rsid w:val="282B533C"/>
    <w:rsid w:val="282D3C59"/>
    <w:rsid w:val="282D5EB2"/>
    <w:rsid w:val="282E6E37"/>
    <w:rsid w:val="283B4DCD"/>
    <w:rsid w:val="283E385D"/>
    <w:rsid w:val="284536AC"/>
    <w:rsid w:val="284E0484"/>
    <w:rsid w:val="285426FF"/>
    <w:rsid w:val="28547B9B"/>
    <w:rsid w:val="28633FC5"/>
    <w:rsid w:val="2868168A"/>
    <w:rsid w:val="286F2ED4"/>
    <w:rsid w:val="2881779A"/>
    <w:rsid w:val="2890116A"/>
    <w:rsid w:val="2895342E"/>
    <w:rsid w:val="2898706B"/>
    <w:rsid w:val="28B11F0C"/>
    <w:rsid w:val="28B27332"/>
    <w:rsid w:val="28B34E02"/>
    <w:rsid w:val="28BB66AD"/>
    <w:rsid w:val="28BC76EC"/>
    <w:rsid w:val="28C9548C"/>
    <w:rsid w:val="28CC0849"/>
    <w:rsid w:val="28DF329D"/>
    <w:rsid w:val="28ED742E"/>
    <w:rsid w:val="28EE228A"/>
    <w:rsid w:val="28EF48FD"/>
    <w:rsid w:val="28F07E9E"/>
    <w:rsid w:val="29044D89"/>
    <w:rsid w:val="29045E5F"/>
    <w:rsid w:val="290511C1"/>
    <w:rsid w:val="291174E0"/>
    <w:rsid w:val="29136D35"/>
    <w:rsid w:val="29175059"/>
    <w:rsid w:val="291E545D"/>
    <w:rsid w:val="29216DDB"/>
    <w:rsid w:val="292E12A4"/>
    <w:rsid w:val="292F4435"/>
    <w:rsid w:val="2936077A"/>
    <w:rsid w:val="293B1718"/>
    <w:rsid w:val="293D5538"/>
    <w:rsid w:val="293F1A00"/>
    <w:rsid w:val="294A062D"/>
    <w:rsid w:val="295119CE"/>
    <w:rsid w:val="295634F7"/>
    <w:rsid w:val="295848C4"/>
    <w:rsid w:val="295A21AC"/>
    <w:rsid w:val="296D5515"/>
    <w:rsid w:val="29721153"/>
    <w:rsid w:val="29721B54"/>
    <w:rsid w:val="29724F5E"/>
    <w:rsid w:val="297364FF"/>
    <w:rsid w:val="297B19C6"/>
    <w:rsid w:val="297E09BB"/>
    <w:rsid w:val="297F7AC3"/>
    <w:rsid w:val="29883E7E"/>
    <w:rsid w:val="29927949"/>
    <w:rsid w:val="29953D1F"/>
    <w:rsid w:val="299F4D14"/>
    <w:rsid w:val="29A05A00"/>
    <w:rsid w:val="29A71FFA"/>
    <w:rsid w:val="29A837BB"/>
    <w:rsid w:val="29AA317D"/>
    <w:rsid w:val="29AF73E4"/>
    <w:rsid w:val="29B45E55"/>
    <w:rsid w:val="29C22CCC"/>
    <w:rsid w:val="29C81ACA"/>
    <w:rsid w:val="29C919CA"/>
    <w:rsid w:val="29CC15D2"/>
    <w:rsid w:val="29DD5692"/>
    <w:rsid w:val="29E34714"/>
    <w:rsid w:val="29EB1C43"/>
    <w:rsid w:val="29F01979"/>
    <w:rsid w:val="29F76224"/>
    <w:rsid w:val="29FD3A08"/>
    <w:rsid w:val="2A0115D0"/>
    <w:rsid w:val="2A02553C"/>
    <w:rsid w:val="2A044F77"/>
    <w:rsid w:val="2A124572"/>
    <w:rsid w:val="2A2C7434"/>
    <w:rsid w:val="2A304D1A"/>
    <w:rsid w:val="2A3C1CE8"/>
    <w:rsid w:val="2A401F23"/>
    <w:rsid w:val="2A440E63"/>
    <w:rsid w:val="2A4E5A66"/>
    <w:rsid w:val="2A4F0A6C"/>
    <w:rsid w:val="2A524C55"/>
    <w:rsid w:val="2A537AA9"/>
    <w:rsid w:val="2A58503E"/>
    <w:rsid w:val="2A5D3A0A"/>
    <w:rsid w:val="2A636B36"/>
    <w:rsid w:val="2A7D2E10"/>
    <w:rsid w:val="2A810FB9"/>
    <w:rsid w:val="2A865DC3"/>
    <w:rsid w:val="2A873E8D"/>
    <w:rsid w:val="2A8A6EA9"/>
    <w:rsid w:val="2A8D2FE3"/>
    <w:rsid w:val="2A971842"/>
    <w:rsid w:val="2A995A40"/>
    <w:rsid w:val="2AA20AE0"/>
    <w:rsid w:val="2AA2107E"/>
    <w:rsid w:val="2AA50262"/>
    <w:rsid w:val="2AA81C38"/>
    <w:rsid w:val="2AA97D44"/>
    <w:rsid w:val="2AB52762"/>
    <w:rsid w:val="2ABD0446"/>
    <w:rsid w:val="2AC42D8D"/>
    <w:rsid w:val="2AC624A1"/>
    <w:rsid w:val="2AC86F46"/>
    <w:rsid w:val="2AD06553"/>
    <w:rsid w:val="2AE000D3"/>
    <w:rsid w:val="2AE21B36"/>
    <w:rsid w:val="2AE62F1E"/>
    <w:rsid w:val="2AE64810"/>
    <w:rsid w:val="2AEC2F1B"/>
    <w:rsid w:val="2AEC54C6"/>
    <w:rsid w:val="2AF21C68"/>
    <w:rsid w:val="2AF369B5"/>
    <w:rsid w:val="2AF91ACB"/>
    <w:rsid w:val="2B04181A"/>
    <w:rsid w:val="2B074C4C"/>
    <w:rsid w:val="2B0A47B7"/>
    <w:rsid w:val="2B123189"/>
    <w:rsid w:val="2B1405CC"/>
    <w:rsid w:val="2B212E09"/>
    <w:rsid w:val="2B217029"/>
    <w:rsid w:val="2B287437"/>
    <w:rsid w:val="2B370EB6"/>
    <w:rsid w:val="2B3955F5"/>
    <w:rsid w:val="2B406EE3"/>
    <w:rsid w:val="2B4772B9"/>
    <w:rsid w:val="2B4A592C"/>
    <w:rsid w:val="2B4F1E21"/>
    <w:rsid w:val="2B510EB0"/>
    <w:rsid w:val="2B555D0F"/>
    <w:rsid w:val="2B6D5F34"/>
    <w:rsid w:val="2B7C2767"/>
    <w:rsid w:val="2B7D31A8"/>
    <w:rsid w:val="2B816A88"/>
    <w:rsid w:val="2B850797"/>
    <w:rsid w:val="2B856DE6"/>
    <w:rsid w:val="2B8676FE"/>
    <w:rsid w:val="2B8D4352"/>
    <w:rsid w:val="2B8E4A6D"/>
    <w:rsid w:val="2B8F4516"/>
    <w:rsid w:val="2BAF0AEE"/>
    <w:rsid w:val="2BB04D8A"/>
    <w:rsid w:val="2BB9651B"/>
    <w:rsid w:val="2BC50F00"/>
    <w:rsid w:val="2BC82470"/>
    <w:rsid w:val="2BCB58F3"/>
    <w:rsid w:val="2BCD48B7"/>
    <w:rsid w:val="2BE13401"/>
    <w:rsid w:val="2BE348E4"/>
    <w:rsid w:val="2BE71BCB"/>
    <w:rsid w:val="2BEA1633"/>
    <w:rsid w:val="2BF11669"/>
    <w:rsid w:val="2BFA3AC2"/>
    <w:rsid w:val="2C0042B0"/>
    <w:rsid w:val="2C0062D0"/>
    <w:rsid w:val="2C141C10"/>
    <w:rsid w:val="2C1D4AC2"/>
    <w:rsid w:val="2C284590"/>
    <w:rsid w:val="2C3334D0"/>
    <w:rsid w:val="2C337DD9"/>
    <w:rsid w:val="2C377001"/>
    <w:rsid w:val="2C4A685B"/>
    <w:rsid w:val="2C4F0E79"/>
    <w:rsid w:val="2C5C4F9B"/>
    <w:rsid w:val="2C5F2BF8"/>
    <w:rsid w:val="2C6B4441"/>
    <w:rsid w:val="2C6D5773"/>
    <w:rsid w:val="2C7052E0"/>
    <w:rsid w:val="2C720B01"/>
    <w:rsid w:val="2C7B0158"/>
    <w:rsid w:val="2C80536A"/>
    <w:rsid w:val="2C8905FA"/>
    <w:rsid w:val="2C903AAE"/>
    <w:rsid w:val="2C927867"/>
    <w:rsid w:val="2C927FAD"/>
    <w:rsid w:val="2C95567B"/>
    <w:rsid w:val="2C9B2B0F"/>
    <w:rsid w:val="2C9F43CE"/>
    <w:rsid w:val="2CAE2398"/>
    <w:rsid w:val="2CBB1AF2"/>
    <w:rsid w:val="2CBB3928"/>
    <w:rsid w:val="2CBF74AB"/>
    <w:rsid w:val="2CC12B6A"/>
    <w:rsid w:val="2CC8269A"/>
    <w:rsid w:val="2CD17B8F"/>
    <w:rsid w:val="2CD629DC"/>
    <w:rsid w:val="2CD7302C"/>
    <w:rsid w:val="2CDB3531"/>
    <w:rsid w:val="2CE35737"/>
    <w:rsid w:val="2CEA3207"/>
    <w:rsid w:val="2CF65FF9"/>
    <w:rsid w:val="2CF75B42"/>
    <w:rsid w:val="2D025A7F"/>
    <w:rsid w:val="2D0772C2"/>
    <w:rsid w:val="2D0B6E4B"/>
    <w:rsid w:val="2D0F725F"/>
    <w:rsid w:val="2D1B0E63"/>
    <w:rsid w:val="2D262A89"/>
    <w:rsid w:val="2D272FA8"/>
    <w:rsid w:val="2D2B05B7"/>
    <w:rsid w:val="2D2B24C0"/>
    <w:rsid w:val="2D2E6F4C"/>
    <w:rsid w:val="2D344C00"/>
    <w:rsid w:val="2D3B29F1"/>
    <w:rsid w:val="2D3C741A"/>
    <w:rsid w:val="2D464271"/>
    <w:rsid w:val="2D4A30EA"/>
    <w:rsid w:val="2D564930"/>
    <w:rsid w:val="2D594230"/>
    <w:rsid w:val="2D61146B"/>
    <w:rsid w:val="2D6373F6"/>
    <w:rsid w:val="2D6538EC"/>
    <w:rsid w:val="2D681C65"/>
    <w:rsid w:val="2D68207A"/>
    <w:rsid w:val="2D696DD2"/>
    <w:rsid w:val="2D775A2F"/>
    <w:rsid w:val="2D7A1C07"/>
    <w:rsid w:val="2D8B36F2"/>
    <w:rsid w:val="2D8C6217"/>
    <w:rsid w:val="2D931647"/>
    <w:rsid w:val="2DA33175"/>
    <w:rsid w:val="2DAA7F7E"/>
    <w:rsid w:val="2DB814D4"/>
    <w:rsid w:val="2DB8647E"/>
    <w:rsid w:val="2DBE01CC"/>
    <w:rsid w:val="2DC357D5"/>
    <w:rsid w:val="2DC463EF"/>
    <w:rsid w:val="2DC50C4C"/>
    <w:rsid w:val="2DC63859"/>
    <w:rsid w:val="2DCE6537"/>
    <w:rsid w:val="2DD75E6E"/>
    <w:rsid w:val="2DD77D6A"/>
    <w:rsid w:val="2DD929A3"/>
    <w:rsid w:val="2DDB2E87"/>
    <w:rsid w:val="2DDD0244"/>
    <w:rsid w:val="2DDE1766"/>
    <w:rsid w:val="2DDE3B72"/>
    <w:rsid w:val="2DE9470A"/>
    <w:rsid w:val="2DF34311"/>
    <w:rsid w:val="2DF572A7"/>
    <w:rsid w:val="2DFC116C"/>
    <w:rsid w:val="2E017B8F"/>
    <w:rsid w:val="2E04291F"/>
    <w:rsid w:val="2E05257E"/>
    <w:rsid w:val="2E05473B"/>
    <w:rsid w:val="2E0C30F6"/>
    <w:rsid w:val="2E0D3479"/>
    <w:rsid w:val="2E0F3EE4"/>
    <w:rsid w:val="2E0F4D72"/>
    <w:rsid w:val="2E1239DD"/>
    <w:rsid w:val="2E1A4E93"/>
    <w:rsid w:val="2E281708"/>
    <w:rsid w:val="2E2D464B"/>
    <w:rsid w:val="2E30424B"/>
    <w:rsid w:val="2E363035"/>
    <w:rsid w:val="2E4526E7"/>
    <w:rsid w:val="2E4641CC"/>
    <w:rsid w:val="2E494E8B"/>
    <w:rsid w:val="2E4B1B22"/>
    <w:rsid w:val="2E4D2975"/>
    <w:rsid w:val="2E507172"/>
    <w:rsid w:val="2E543158"/>
    <w:rsid w:val="2E57644B"/>
    <w:rsid w:val="2E58063C"/>
    <w:rsid w:val="2E582079"/>
    <w:rsid w:val="2E586131"/>
    <w:rsid w:val="2E5A0250"/>
    <w:rsid w:val="2E634F94"/>
    <w:rsid w:val="2E6B349E"/>
    <w:rsid w:val="2E6F3706"/>
    <w:rsid w:val="2E74769D"/>
    <w:rsid w:val="2E931C95"/>
    <w:rsid w:val="2E982E22"/>
    <w:rsid w:val="2E9E1C1E"/>
    <w:rsid w:val="2EAC13E5"/>
    <w:rsid w:val="2EAC7B3E"/>
    <w:rsid w:val="2EB13F89"/>
    <w:rsid w:val="2EB14AD4"/>
    <w:rsid w:val="2EB43E94"/>
    <w:rsid w:val="2EBB145A"/>
    <w:rsid w:val="2EC15E35"/>
    <w:rsid w:val="2ECD6C74"/>
    <w:rsid w:val="2ED056C4"/>
    <w:rsid w:val="2ED71608"/>
    <w:rsid w:val="2EDE074D"/>
    <w:rsid w:val="2EE07230"/>
    <w:rsid w:val="2EE15524"/>
    <w:rsid w:val="2EE23734"/>
    <w:rsid w:val="2EE45D6B"/>
    <w:rsid w:val="2EE968F1"/>
    <w:rsid w:val="2EF7003B"/>
    <w:rsid w:val="2EF81B05"/>
    <w:rsid w:val="2EFF6EEF"/>
    <w:rsid w:val="2F0B3B02"/>
    <w:rsid w:val="2F0F6143"/>
    <w:rsid w:val="2F12642D"/>
    <w:rsid w:val="2F157C4A"/>
    <w:rsid w:val="2F1C04C9"/>
    <w:rsid w:val="2F1F2F1A"/>
    <w:rsid w:val="2F211802"/>
    <w:rsid w:val="2F2262E0"/>
    <w:rsid w:val="2F234E03"/>
    <w:rsid w:val="2F2B028C"/>
    <w:rsid w:val="2F2D462F"/>
    <w:rsid w:val="2F385177"/>
    <w:rsid w:val="2F3C0061"/>
    <w:rsid w:val="2F4646E9"/>
    <w:rsid w:val="2F4800A8"/>
    <w:rsid w:val="2F486F18"/>
    <w:rsid w:val="2F5140BB"/>
    <w:rsid w:val="2F544413"/>
    <w:rsid w:val="2F5A7A9C"/>
    <w:rsid w:val="2F604DEA"/>
    <w:rsid w:val="2F6D5DD0"/>
    <w:rsid w:val="2F742E00"/>
    <w:rsid w:val="2F77792C"/>
    <w:rsid w:val="2F7E7F6E"/>
    <w:rsid w:val="2F896357"/>
    <w:rsid w:val="2F8C3332"/>
    <w:rsid w:val="2F8E4B5F"/>
    <w:rsid w:val="2F906A2C"/>
    <w:rsid w:val="2F9113BA"/>
    <w:rsid w:val="2F921273"/>
    <w:rsid w:val="2F9A0097"/>
    <w:rsid w:val="2FA50562"/>
    <w:rsid w:val="2FAD2A55"/>
    <w:rsid w:val="2FB02885"/>
    <w:rsid w:val="2FB82D28"/>
    <w:rsid w:val="2FBE47C9"/>
    <w:rsid w:val="2FC15C0C"/>
    <w:rsid w:val="2FC320F6"/>
    <w:rsid w:val="2FCA605E"/>
    <w:rsid w:val="2FCA688F"/>
    <w:rsid w:val="2FE47BDD"/>
    <w:rsid w:val="2FF230F7"/>
    <w:rsid w:val="2FFC04F2"/>
    <w:rsid w:val="2FFD6C13"/>
    <w:rsid w:val="2FFF0355"/>
    <w:rsid w:val="30006BD5"/>
    <w:rsid w:val="30027514"/>
    <w:rsid w:val="300F506A"/>
    <w:rsid w:val="30133E25"/>
    <w:rsid w:val="30195F51"/>
    <w:rsid w:val="30275767"/>
    <w:rsid w:val="303D45A6"/>
    <w:rsid w:val="303F126B"/>
    <w:rsid w:val="304036D8"/>
    <w:rsid w:val="30421CE7"/>
    <w:rsid w:val="30537F8C"/>
    <w:rsid w:val="3057180B"/>
    <w:rsid w:val="307157E3"/>
    <w:rsid w:val="307273BD"/>
    <w:rsid w:val="307A3F5F"/>
    <w:rsid w:val="308247F6"/>
    <w:rsid w:val="30836447"/>
    <w:rsid w:val="30843B7B"/>
    <w:rsid w:val="309A32C4"/>
    <w:rsid w:val="309C7FBF"/>
    <w:rsid w:val="309D6877"/>
    <w:rsid w:val="30A964DD"/>
    <w:rsid w:val="30AD7927"/>
    <w:rsid w:val="30BF16D5"/>
    <w:rsid w:val="30C401C0"/>
    <w:rsid w:val="30CE3D11"/>
    <w:rsid w:val="30D62FD3"/>
    <w:rsid w:val="30DB3D9E"/>
    <w:rsid w:val="30DD48EF"/>
    <w:rsid w:val="30DE410B"/>
    <w:rsid w:val="30E0364F"/>
    <w:rsid w:val="30E33BE5"/>
    <w:rsid w:val="30E36B92"/>
    <w:rsid w:val="310924F7"/>
    <w:rsid w:val="3109447D"/>
    <w:rsid w:val="3111015F"/>
    <w:rsid w:val="31127011"/>
    <w:rsid w:val="311D75AE"/>
    <w:rsid w:val="312413FC"/>
    <w:rsid w:val="31296A81"/>
    <w:rsid w:val="312C72C8"/>
    <w:rsid w:val="312D534B"/>
    <w:rsid w:val="314B6679"/>
    <w:rsid w:val="3154316D"/>
    <w:rsid w:val="31615451"/>
    <w:rsid w:val="31674798"/>
    <w:rsid w:val="31757F82"/>
    <w:rsid w:val="3179279B"/>
    <w:rsid w:val="3183532C"/>
    <w:rsid w:val="318A3044"/>
    <w:rsid w:val="318B4670"/>
    <w:rsid w:val="318D1703"/>
    <w:rsid w:val="319126DC"/>
    <w:rsid w:val="31990B56"/>
    <w:rsid w:val="31990E9C"/>
    <w:rsid w:val="319B3C6F"/>
    <w:rsid w:val="31A11AD1"/>
    <w:rsid w:val="31A56C88"/>
    <w:rsid w:val="31B03FE2"/>
    <w:rsid w:val="31B75C0B"/>
    <w:rsid w:val="31B972FD"/>
    <w:rsid w:val="31BB4D17"/>
    <w:rsid w:val="31CC6FEE"/>
    <w:rsid w:val="31CF0DD2"/>
    <w:rsid w:val="31E00A6C"/>
    <w:rsid w:val="31FC26BB"/>
    <w:rsid w:val="3206462B"/>
    <w:rsid w:val="32160C3B"/>
    <w:rsid w:val="321F2E9F"/>
    <w:rsid w:val="322F61A2"/>
    <w:rsid w:val="32384404"/>
    <w:rsid w:val="323D37E1"/>
    <w:rsid w:val="32400FEE"/>
    <w:rsid w:val="325A66D0"/>
    <w:rsid w:val="326774BD"/>
    <w:rsid w:val="32773BAB"/>
    <w:rsid w:val="328252FD"/>
    <w:rsid w:val="32891249"/>
    <w:rsid w:val="328D1D07"/>
    <w:rsid w:val="328D2BA7"/>
    <w:rsid w:val="32970306"/>
    <w:rsid w:val="329A3927"/>
    <w:rsid w:val="329A48FC"/>
    <w:rsid w:val="329C2C53"/>
    <w:rsid w:val="32A20D7D"/>
    <w:rsid w:val="32A377A6"/>
    <w:rsid w:val="32A777DC"/>
    <w:rsid w:val="32B063E3"/>
    <w:rsid w:val="32B545A9"/>
    <w:rsid w:val="32BF16A8"/>
    <w:rsid w:val="32C639E9"/>
    <w:rsid w:val="32CC0CB4"/>
    <w:rsid w:val="32CF3957"/>
    <w:rsid w:val="32D64FD4"/>
    <w:rsid w:val="32F1613C"/>
    <w:rsid w:val="32F21ECB"/>
    <w:rsid w:val="32F90F61"/>
    <w:rsid w:val="32FB23A2"/>
    <w:rsid w:val="33022592"/>
    <w:rsid w:val="33044154"/>
    <w:rsid w:val="33057E01"/>
    <w:rsid w:val="3318241A"/>
    <w:rsid w:val="332216F3"/>
    <w:rsid w:val="333D66C5"/>
    <w:rsid w:val="334149A1"/>
    <w:rsid w:val="3347655C"/>
    <w:rsid w:val="335167BA"/>
    <w:rsid w:val="33550A3F"/>
    <w:rsid w:val="3359674D"/>
    <w:rsid w:val="335E5778"/>
    <w:rsid w:val="336470DC"/>
    <w:rsid w:val="336814E4"/>
    <w:rsid w:val="33691604"/>
    <w:rsid w:val="33753C65"/>
    <w:rsid w:val="33763BC6"/>
    <w:rsid w:val="338D13A7"/>
    <w:rsid w:val="33975228"/>
    <w:rsid w:val="339A7BD7"/>
    <w:rsid w:val="339D4B4E"/>
    <w:rsid w:val="33A065B6"/>
    <w:rsid w:val="33B4216E"/>
    <w:rsid w:val="33BD51AA"/>
    <w:rsid w:val="33D50720"/>
    <w:rsid w:val="33D83574"/>
    <w:rsid w:val="33DD044E"/>
    <w:rsid w:val="33DE527A"/>
    <w:rsid w:val="33E3650D"/>
    <w:rsid w:val="33E67E90"/>
    <w:rsid w:val="34071DCF"/>
    <w:rsid w:val="340C486C"/>
    <w:rsid w:val="34344622"/>
    <w:rsid w:val="34367BAC"/>
    <w:rsid w:val="343744AF"/>
    <w:rsid w:val="343F29AA"/>
    <w:rsid w:val="3440651E"/>
    <w:rsid w:val="344D46D7"/>
    <w:rsid w:val="34526300"/>
    <w:rsid w:val="345C1FC7"/>
    <w:rsid w:val="345C4D18"/>
    <w:rsid w:val="3461030F"/>
    <w:rsid w:val="346C750B"/>
    <w:rsid w:val="346F0491"/>
    <w:rsid w:val="34740123"/>
    <w:rsid w:val="34792BAD"/>
    <w:rsid w:val="347A2735"/>
    <w:rsid w:val="347B7455"/>
    <w:rsid w:val="348032B0"/>
    <w:rsid w:val="348F771A"/>
    <w:rsid w:val="3496518E"/>
    <w:rsid w:val="349E5E8A"/>
    <w:rsid w:val="349E6A43"/>
    <w:rsid w:val="34A1391D"/>
    <w:rsid w:val="34A65965"/>
    <w:rsid w:val="34A90822"/>
    <w:rsid w:val="34AE1965"/>
    <w:rsid w:val="34AE3F89"/>
    <w:rsid w:val="34B22D9C"/>
    <w:rsid w:val="34B773B8"/>
    <w:rsid w:val="34BC0AE9"/>
    <w:rsid w:val="34C0323D"/>
    <w:rsid w:val="34C54BE6"/>
    <w:rsid w:val="34D04FD5"/>
    <w:rsid w:val="34DF2D66"/>
    <w:rsid w:val="34EB1B1D"/>
    <w:rsid w:val="34F4363E"/>
    <w:rsid w:val="34FC17E1"/>
    <w:rsid w:val="350B1347"/>
    <w:rsid w:val="35107CD2"/>
    <w:rsid w:val="35136F08"/>
    <w:rsid w:val="35163DD7"/>
    <w:rsid w:val="351F1D64"/>
    <w:rsid w:val="35372752"/>
    <w:rsid w:val="353854E8"/>
    <w:rsid w:val="35394114"/>
    <w:rsid w:val="353D1DC1"/>
    <w:rsid w:val="353F3653"/>
    <w:rsid w:val="354658AC"/>
    <w:rsid w:val="355D4D49"/>
    <w:rsid w:val="356546EE"/>
    <w:rsid w:val="3566134F"/>
    <w:rsid w:val="35677857"/>
    <w:rsid w:val="356E6AD1"/>
    <w:rsid w:val="357A7037"/>
    <w:rsid w:val="35811403"/>
    <w:rsid w:val="358A4199"/>
    <w:rsid w:val="35927E30"/>
    <w:rsid w:val="35937958"/>
    <w:rsid w:val="35AD303C"/>
    <w:rsid w:val="35B273C6"/>
    <w:rsid w:val="35B5488C"/>
    <w:rsid w:val="35B71455"/>
    <w:rsid w:val="35B91924"/>
    <w:rsid w:val="35C14DE5"/>
    <w:rsid w:val="35C307AB"/>
    <w:rsid w:val="35D31634"/>
    <w:rsid w:val="35D655B5"/>
    <w:rsid w:val="35E60EE7"/>
    <w:rsid w:val="35F54616"/>
    <w:rsid w:val="35F57DB0"/>
    <w:rsid w:val="35FF54B4"/>
    <w:rsid w:val="360139A4"/>
    <w:rsid w:val="36162588"/>
    <w:rsid w:val="361D1C63"/>
    <w:rsid w:val="3621113B"/>
    <w:rsid w:val="36271DAD"/>
    <w:rsid w:val="36293BC0"/>
    <w:rsid w:val="362C1199"/>
    <w:rsid w:val="36350588"/>
    <w:rsid w:val="36436F9F"/>
    <w:rsid w:val="364D1BD2"/>
    <w:rsid w:val="3656302A"/>
    <w:rsid w:val="36577462"/>
    <w:rsid w:val="36634FFC"/>
    <w:rsid w:val="367818A9"/>
    <w:rsid w:val="367F3C01"/>
    <w:rsid w:val="3680423E"/>
    <w:rsid w:val="36842BE5"/>
    <w:rsid w:val="368510A2"/>
    <w:rsid w:val="368C466A"/>
    <w:rsid w:val="368D2777"/>
    <w:rsid w:val="368F2A4E"/>
    <w:rsid w:val="368F2A60"/>
    <w:rsid w:val="369701BE"/>
    <w:rsid w:val="36984A81"/>
    <w:rsid w:val="369D5061"/>
    <w:rsid w:val="369E4452"/>
    <w:rsid w:val="36AA7B93"/>
    <w:rsid w:val="36B00F4C"/>
    <w:rsid w:val="36B12010"/>
    <w:rsid w:val="36C302BB"/>
    <w:rsid w:val="36CC14AD"/>
    <w:rsid w:val="36D02231"/>
    <w:rsid w:val="36DA6041"/>
    <w:rsid w:val="36E66034"/>
    <w:rsid w:val="36E939DA"/>
    <w:rsid w:val="36F845A2"/>
    <w:rsid w:val="37041CBB"/>
    <w:rsid w:val="371415FE"/>
    <w:rsid w:val="371A1E92"/>
    <w:rsid w:val="371B0BD3"/>
    <w:rsid w:val="37211463"/>
    <w:rsid w:val="37234F40"/>
    <w:rsid w:val="372601FE"/>
    <w:rsid w:val="37287B2A"/>
    <w:rsid w:val="37324E67"/>
    <w:rsid w:val="3737315C"/>
    <w:rsid w:val="373B35B9"/>
    <w:rsid w:val="37411E0B"/>
    <w:rsid w:val="37482D04"/>
    <w:rsid w:val="37516877"/>
    <w:rsid w:val="37565882"/>
    <w:rsid w:val="375B19D0"/>
    <w:rsid w:val="375C47AE"/>
    <w:rsid w:val="3762275D"/>
    <w:rsid w:val="37642BD0"/>
    <w:rsid w:val="37694082"/>
    <w:rsid w:val="376C0F6C"/>
    <w:rsid w:val="377A42F2"/>
    <w:rsid w:val="377D7BB1"/>
    <w:rsid w:val="37840AF8"/>
    <w:rsid w:val="378A239F"/>
    <w:rsid w:val="378C2999"/>
    <w:rsid w:val="37926566"/>
    <w:rsid w:val="37941CA2"/>
    <w:rsid w:val="379F5678"/>
    <w:rsid w:val="37A15651"/>
    <w:rsid w:val="37A7602C"/>
    <w:rsid w:val="37A92C94"/>
    <w:rsid w:val="37AB19E5"/>
    <w:rsid w:val="37CA28A5"/>
    <w:rsid w:val="37D05F06"/>
    <w:rsid w:val="37DE27A1"/>
    <w:rsid w:val="37E322E5"/>
    <w:rsid w:val="37E35AA8"/>
    <w:rsid w:val="37FE0EEE"/>
    <w:rsid w:val="38066908"/>
    <w:rsid w:val="38066D52"/>
    <w:rsid w:val="3807330F"/>
    <w:rsid w:val="3808294A"/>
    <w:rsid w:val="38141581"/>
    <w:rsid w:val="38171764"/>
    <w:rsid w:val="381A0610"/>
    <w:rsid w:val="381A6922"/>
    <w:rsid w:val="3821781C"/>
    <w:rsid w:val="384C7DE3"/>
    <w:rsid w:val="384F1226"/>
    <w:rsid w:val="385C1FD8"/>
    <w:rsid w:val="385E4A61"/>
    <w:rsid w:val="38600A14"/>
    <w:rsid w:val="386E166D"/>
    <w:rsid w:val="38775665"/>
    <w:rsid w:val="387D3F12"/>
    <w:rsid w:val="388E27CC"/>
    <w:rsid w:val="38915E61"/>
    <w:rsid w:val="3891601A"/>
    <w:rsid w:val="38917CE3"/>
    <w:rsid w:val="38955C45"/>
    <w:rsid w:val="38964FEF"/>
    <w:rsid w:val="38977803"/>
    <w:rsid w:val="38A25C64"/>
    <w:rsid w:val="38A81BB8"/>
    <w:rsid w:val="38AA544A"/>
    <w:rsid w:val="38AF33F5"/>
    <w:rsid w:val="38B71C58"/>
    <w:rsid w:val="38BB6C72"/>
    <w:rsid w:val="38BC2936"/>
    <w:rsid w:val="38CD2F69"/>
    <w:rsid w:val="38DA6810"/>
    <w:rsid w:val="38DC319D"/>
    <w:rsid w:val="38F4256B"/>
    <w:rsid w:val="38F577A3"/>
    <w:rsid w:val="38F70BBC"/>
    <w:rsid w:val="38F809D2"/>
    <w:rsid w:val="38F87B7E"/>
    <w:rsid w:val="39032327"/>
    <w:rsid w:val="390B3FA1"/>
    <w:rsid w:val="390D4D1C"/>
    <w:rsid w:val="390F613D"/>
    <w:rsid w:val="39162FC5"/>
    <w:rsid w:val="391A55E1"/>
    <w:rsid w:val="392247B4"/>
    <w:rsid w:val="3925382A"/>
    <w:rsid w:val="39313591"/>
    <w:rsid w:val="39366CE0"/>
    <w:rsid w:val="39375403"/>
    <w:rsid w:val="394711B2"/>
    <w:rsid w:val="395349E2"/>
    <w:rsid w:val="39575D7B"/>
    <w:rsid w:val="39595A98"/>
    <w:rsid w:val="39604DD9"/>
    <w:rsid w:val="396D6BAE"/>
    <w:rsid w:val="39785F22"/>
    <w:rsid w:val="397C098D"/>
    <w:rsid w:val="39831FEE"/>
    <w:rsid w:val="39915E2A"/>
    <w:rsid w:val="39931510"/>
    <w:rsid w:val="3998302A"/>
    <w:rsid w:val="39AE79AC"/>
    <w:rsid w:val="39B852F9"/>
    <w:rsid w:val="39BD4A94"/>
    <w:rsid w:val="39CD6EB6"/>
    <w:rsid w:val="39CF322A"/>
    <w:rsid w:val="39D8463B"/>
    <w:rsid w:val="39DA10F8"/>
    <w:rsid w:val="39DF27AF"/>
    <w:rsid w:val="39DF2B9D"/>
    <w:rsid w:val="39DF7404"/>
    <w:rsid w:val="39F40FE2"/>
    <w:rsid w:val="39FF15F6"/>
    <w:rsid w:val="3A003935"/>
    <w:rsid w:val="3A090CB7"/>
    <w:rsid w:val="3A0F4733"/>
    <w:rsid w:val="3A117173"/>
    <w:rsid w:val="3A1200F9"/>
    <w:rsid w:val="3A19325F"/>
    <w:rsid w:val="3A1D538C"/>
    <w:rsid w:val="3A2047EE"/>
    <w:rsid w:val="3A2A46A6"/>
    <w:rsid w:val="3A2A6AE7"/>
    <w:rsid w:val="3A345CB1"/>
    <w:rsid w:val="3A364A15"/>
    <w:rsid w:val="3A405CC2"/>
    <w:rsid w:val="3A4260B7"/>
    <w:rsid w:val="3A435E5D"/>
    <w:rsid w:val="3A466528"/>
    <w:rsid w:val="3A4A7C8F"/>
    <w:rsid w:val="3A501E0B"/>
    <w:rsid w:val="3A5A3FE0"/>
    <w:rsid w:val="3A605CF4"/>
    <w:rsid w:val="3A6174AF"/>
    <w:rsid w:val="3A627175"/>
    <w:rsid w:val="3A6A3E25"/>
    <w:rsid w:val="3A6C165B"/>
    <w:rsid w:val="3A723D38"/>
    <w:rsid w:val="3A792630"/>
    <w:rsid w:val="3A8065CF"/>
    <w:rsid w:val="3A824D80"/>
    <w:rsid w:val="3A900B55"/>
    <w:rsid w:val="3A9536C8"/>
    <w:rsid w:val="3A975B6B"/>
    <w:rsid w:val="3AA071A0"/>
    <w:rsid w:val="3AAD5460"/>
    <w:rsid w:val="3AB27E19"/>
    <w:rsid w:val="3AB45DF7"/>
    <w:rsid w:val="3AB86A18"/>
    <w:rsid w:val="3AC15748"/>
    <w:rsid w:val="3ACB7952"/>
    <w:rsid w:val="3AD92734"/>
    <w:rsid w:val="3ADA6FF7"/>
    <w:rsid w:val="3ADE58CF"/>
    <w:rsid w:val="3AE20A4E"/>
    <w:rsid w:val="3AF6213B"/>
    <w:rsid w:val="3AF752E0"/>
    <w:rsid w:val="3B01318C"/>
    <w:rsid w:val="3B0574D3"/>
    <w:rsid w:val="3B057795"/>
    <w:rsid w:val="3B0C2CA3"/>
    <w:rsid w:val="3B1257C4"/>
    <w:rsid w:val="3B28213C"/>
    <w:rsid w:val="3B2A5C24"/>
    <w:rsid w:val="3B350B7D"/>
    <w:rsid w:val="3B3B02BA"/>
    <w:rsid w:val="3B455C1A"/>
    <w:rsid w:val="3B4E6EB3"/>
    <w:rsid w:val="3B512282"/>
    <w:rsid w:val="3B534683"/>
    <w:rsid w:val="3B722525"/>
    <w:rsid w:val="3B724871"/>
    <w:rsid w:val="3B7D2A98"/>
    <w:rsid w:val="3B806977"/>
    <w:rsid w:val="3B876C2D"/>
    <w:rsid w:val="3B8C61A3"/>
    <w:rsid w:val="3BA42C6A"/>
    <w:rsid w:val="3BB41E69"/>
    <w:rsid w:val="3BBA3FC8"/>
    <w:rsid w:val="3BC3073A"/>
    <w:rsid w:val="3BC40B23"/>
    <w:rsid w:val="3BCA08CD"/>
    <w:rsid w:val="3BD44281"/>
    <w:rsid w:val="3BEA700D"/>
    <w:rsid w:val="3BEE647B"/>
    <w:rsid w:val="3BF231D8"/>
    <w:rsid w:val="3BF317B1"/>
    <w:rsid w:val="3BFD54C1"/>
    <w:rsid w:val="3C0C0859"/>
    <w:rsid w:val="3C196905"/>
    <w:rsid w:val="3C2056C6"/>
    <w:rsid w:val="3C224638"/>
    <w:rsid w:val="3C3A090A"/>
    <w:rsid w:val="3C3D61A2"/>
    <w:rsid w:val="3C3E4ACB"/>
    <w:rsid w:val="3C472F14"/>
    <w:rsid w:val="3C4C7915"/>
    <w:rsid w:val="3C4E3D89"/>
    <w:rsid w:val="3C52174F"/>
    <w:rsid w:val="3C635134"/>
    <w:rsid w:val="3C6B435D"/>
    <w:rsid w:val="3C7D07DA"/>
    <w:rsid w:val="3C7F2461"/>
    <w:rsid w:val="3C856225"/>
    <w:rsid w:val="3C8A69DA"/>
    <w:rsid w:val="3C9774BA"/>
    <w:rsid w:val="3C9869B6"/>
    <w:rsid w:val="3CA936B7"/>
    <w:rsid w:val="3CB31DF8"/>
    <w:rsid w:val="3CBF58EF"/>
    <w:rsid w:val="3CC2198D"/>
    <w:rsid w:val="3CE058DE"/>
    <w:rsid w:val="3CE42E16"/>
    <w:rsid w:val="3CE57323"/>
    <w:rsid w:val="3CE657BD"/>
    <w:rsid w:val="3CE94031"/>
    <w:rsid w:val="3CE96B15"/>
    <w:rsid w:val="3CF21C36"/>
    <w:rsid w:val="3CF342DA"/>
    <w:rsid w:val="3D0473BE"/>
    <w:rsid w:val="3D147F46"/>
    <w:rsid w:val="3D185872"/>
    <w:rsid w:val="3D1A60CB"/>
    <w:rsid w:val="3D1E1BF7"/>
    <w:rsid w:val="3D2359BE"/>
    <w:rsid w:val="3D3559AE"/>
    <w:rsid w:val="3D3C4868"/>
    <w:rsid w:val="3D52208A"/>
    <w:rsid w:val="3D5568CF"/>
    <w:rsid w:val="3D573675"/>
    <w:rsid w:val="3D5C76B2"/>
    <w:rsid w:val="3D636D38"/>
    <w:rsid w:val="3D6618C2"/>
    <w:rsid w:val="3D696170"/>
    <w:rsid w:val="3D754148"/>
    <w:rsid w:val="3D7C0211"/>
    <w:rsid w:val="3D8E72B5"/>
    <w:rsid w:val="3D942550"/>
    <w:rsid w:val="3D98509C"/>
    <w:rsid w:val="3DA50011"/>
    <w:rsid w:val="3DAA0CAD"/>
    <w:rsid w:val="3DAD0211"/>
    <w:rsid w:val="3DB02CFB"/>
    <w:rsid w:val="3DB10F54"/>
    <w:rsid w:val="3DE8493D"/>
    <w:rsid w:val="3DE95F01"/>
    <w:rsid w:val="3DF01D94"/>
    <w:rsid w:val="3DF15A68"/>
    <w:rsid w:val="3DF559A8"/>
    <w:rsid w:val="3DF61AC7"/>
    <w:rsid w:val="3DFC3E40"/>
    <w:rsid w:val="3E0C5BBD"/>
    <w:rsid w:val="3E0F2B91"/>
    <w:rsid w:val="3E197EFC"/>
    <w:rsid w:val="3E1A6E6F"/>
    <w:rsid w:val="3E2248AE"/>
    <w:rsid w:val="3E2504DD"/>
    <w:rsid w:val="3E260849"/>
    <w:rsid w:val="3E393A50"/>
    <w:rsid w:val="3E3E4639"/>
    <w:rsid w:val="3E42308C"/>
    <w:rsid w:val="3E4556BD"/>
    <w:rsid w:val="3E456E4C"/>
    <w:rsid w:val="3E515E15"/>
    <w:rsid w:val="3E5E6845"/>
    <w:rsid w:val="3E7C528C"/>
    <w:rsid w:val="3EA14E73"/>
    <w:rsid w:val="3EA538A1"/>
    <w:rsid w:val="3EAD78C0"/>
    <w:rsid w:val="3EC56CD4"/>
    <w:rsid w:val="3EC92911"/>
    <w:rsid w:val="3ECE159A"/>
    <w:rsid w:val="3ED22951"/>
    <w:rsid w:val="3EEF0E8A"/>
    <w:rsid w:val="3EF31185"/>
    <w:rsid w:val="3EFB1462"/>
    <w:rsid w:val="3EFB5C55"/>
    <w:rsid w:val="3EFE33CC"/>
    <w:rsid w:val="3F08008E"/>
    <w:rsid w:val="3F0D4E6A"/>
    <w:rsid w:val="3F196440"/>
    <w:rsid w:val="3F1E5D5B"/>
    <w:rsid w:val="3F2003D2"/>
    <w:rsid w:val="3F206B1C"/>
    <w:rsid w:val="3F30061B"/>
    <w:rsid w:val="3F3B5F26"/>
    <w:rsid w:val="3F3C4AF6"/>
    <w:rsid w:val="3F3E3276"/>
    <w:rsid w:val="3F43102E"/>
    <w:rsid w:val="3F4A6DCE"/>
    <w:rsid w:val="3F5559A4"/>
    <w:rsid w:val="3F63083F"/>
    <w:rsid w:val="3F647404"/>
    <w:rsid w:val="3F674671"/>
    <w:rsid w:val="3F6A46D7"/>
    <w:rsid w:val="3F773C9D"/>
    <w:rsid w:val="3F7B1FA4"/>
    <w:rsid w:val="3F883621"/>
    <w:rsid w:val="3F883DE6"/>
    <w:rsid w:val="3F8E0783"/>
    <w:rsid w:val="3F93030B"/>
    <w:rsid w:val="3F945378"/>
    <w:rsid w:val="3F9C503F"/>
    <w:rsid w:val="3FA25B15"/>
    <w:rsid w:val="3FAB7193"/>
    <w:rsid w:val="3FAD2DFA"/>
    <w:rsid w:val="3FB47003"/>
    <w:rsid w:val="3FC05995"/>
    <w:rsid w:val="3FC205CD"/>
    <w:rsid w:val="3FC268B8"/>
    <w:rsid w:val="3FC750B3"/>
    <w:rsid w:val="3FC7724B"/>
    <w:rsid w:val="3FCE78E2"/>
    <w:rsid w:val="3FD64B10"/>
    <w:rsid w:val="3FDA4D4C"/>
    <w:rsid w:val="3FF55117"/>
    <w:rsid w:val="3FF653F0"/>
    <w:rsid w:val="3FF77311"/>
    <w:rsid w:val="400230BD"/>
    <w:rsid w:val="40097FB7"/>
    <w:rsid w:val="400E61A1"/>
    <w:rsid w:val="40170B28"/>
    <w:rsid w:val="401A5BE4"/>
    <w:rsid w:val="4021018A"/>
    <w:rsid w:val="40223156"/>
    <w:rsid w:val="4022614F"/>
    <w:rsid w:val="402A42FF"/>
    <w:rsid w:val="4031289F"/>
    <w:rsid w:val="403471B1"/>
    <w:rsid w:val="40452D9C"/>
    <w:rsid w:val="404A2063"/>
    <w:rsid w:val="404B02A3"/>
    <w:rsid w:val="404D0F6A"/>
    <w:rsid w:val="4052272F"/>
    <w:rsid w:val="405E208C"/>
    <w:rsid w:val="40666025"/>
    <w:rsid w:val="4071286F"/>
    <w:rsid w:val="40743450"/>
    <w:rsid w:val="40786313"/>
    <w:rsid w:val="40796F2C"/>
    <w:rsid w:val="40872E10"/>
    <w:rsid w:val="4088227C"/>
    <w:rsid w:val="408D5BFF"/>
    <w:rsid w:val="408D6061"/>
    <w:rsid w:val="40914FBF"/>
    <w:rsid w:val="409213CA"/>
    <w:rsid w:val="40964540"/>
    <w:rsid w:val="409D2BFC"/>
    <w:rsid w:val="40A22FE5"/>
    <w:rsid w:val="40A45C65"/>
    <w:rsid w:val="40A51B69"/>
    <w:rsid w:val="40A72AD1"/>
    <w:rsid w:val="40B55ACA"/>
    <w:rsid w:val="40BA6A38"/>
    <w:rsid w:val="40BC3F68"/>
    <w:rsid w:val="40BE4215"/>
    <w:rsid w:val="40C3665F"/>
    <w:rsid w:val="40C6107F"/>
    <w:rsid w:val="40C65646"/>
    <w:rsid w:val="40CE1FEC"/>
    <w:rsid w:val="40E0647C"/>
    <w:rsid w:val="40ED208F"/>
    <w:rsid w:val="40EF7E59"/>
    <w:rsid w:val="40F33F2E"/>
    <w:rsid w:val="40F605E4"/>
    <w:rsid w:val="40F92E44"/>
    <w:rsid w:val="40FA3CA7"/>
    <w:rsid w:val="40FA62D8"/>
    <w:rsid w:val="40FB19ED"/>
    <w:rsid w:val="40FD5C73"/>
    <w:rsid w:val="410943D7"/>
    <w:rsid w:val="410C5CD4"/>
    <w:rsid w:val="410F25EA"/>
    <w:rsid w:val="41113E23"/>
    <w:rsid w:val="411254D6"/>
    <w:rsid w:val="411A5F02"/>
    <w:rsid w:val="412D4E13"/>
    <w:rsid w:val="41351E62"/>
    <w:rsid w:val="413866D3"/>
    <w:rsid w:val="414A7301"/>
    <w:rsid w:val="414B70E9"/>
    <w:rsid w:val="414E63D6"/>
    <w:rsid w:val="41520983"/>
    <w:rsid w:val="415A503E"/>
    <w:rsid w:val="41625E33"/>
    <w:rsid w:val="41651E18"/>
    <w:rsid w:val="4165258C"/>
    <w:rsid w:val="417676A1"/>
    <w:rsid w:val="418A6944"/>
    <w:rsid w:val="418D1000"/>
    <w:rsid w:val="41940904"/>
    <w:rsid w:val="419B3CF6"/>
    <w:rsid w:val="41A47CE3"/>
    <w:rsid w:val="41A53AAB"/>
    <w:rsid w:val="41AC7FD9"/>
    <w:rsid w:val="41AF045B"/>
    <w:rsid w:val="41B36197"/>
    <w:rsid w:val="41C95079"/>
    <w:rsid w:val="41D77047"/>
    <w:rsid w:val="41D97F10"/>
    <w:rsid w:val="41E11F5C"/>
    <w:rsid w:val="41EB3B10"/>
    <w:rsid w:val="41FD2F74"/>
    <w:rsid w:val="420B2066"/>
    <w:rsid w:val="42127D59"/>
    <w:rsid w:val="422245FC"/>
    <w:rsid w:val="422B02CE"/>
    <w:rsid w:val="42324BDE"/>
    <w:rsid w:val="423600ED"/>
    <w:rsid w:val="423C4608"/>
    <w:rsid w:val="424079EC"/>
    <w:rsid w:val="42443D28"/>
    <w:rsid w:val="42471E2B"/>
    <w:rsid w:val="424D263D"/>
    <w:rsid w:val="42573E38"/>
    <w:rsid w:val="425A1E21"/>
    <w:rsid w:val="426B2A28"/>
    <w:rsid w:val="426F4E04"/>
    <w:rsid w:val="42713316"/>
    <w:rsid w:val="42767B5C"/>
    <w:rsid w:val="427C38B6"/>
    <w:rsid w:val="427E233D"/>
    <w:rsid w:val="4289035B"/>
    <w:rsid w:val="428B0C16"/>
    <w:rsid w:val="428E5441"/>
    <w:rsid w:val="42952F59"/>
    <w:rsid w:val="42974E44"/>
    <w:rsid w:val="429E0997"/>
    <w:rsid w:val="42A52DDE"/>
    <w:rsid w:val="42B14269"/>
    <w:rsid w:val="42BF6377"/>
    <w:rsid w:val="42C15414"/>
    <w:rsid w:val="42C31DD8"/>
    <w:rsid w:val="42C55269"/>
    <w:rsid w:val="42C75D97"/>
    <w:rsid w:val="42C90084"/>
    <w:rsid w:val="42C941A4"/>
    <w:rsid w:val="42D62972"/>
    <w:rsid w:val="42EC50AA"/>
    <w:rsid w:val="42EF10CB"/>
    <w:rsid w:val="42FA4C93"/>
    <w:rsid w:val="42FF21C0"/>
    <w:rsid w:val="430512C9"/>
    <w:rsid w:val="43131CD8"/>
    <w:rsid w:val="43147D4B"/>
    <w:rsid w:val="4327694D"/>
    <w:rsid w:val="43361C80"/>
    <w:rsid w:val="43635340"/>
    <w:rsid w:val="43697D25"/>
    <w:rsid w:val="43706833"/>
    <w:rsid w:val="437112DA"/>
    <w:rsid w:val="437219DB"/>
    <w:rsid w:val="437555C5"/>
    <w:rsid w:val="437F2AB1"/>
    <w:rsid w:val="43823263"/>
    <w:rsid w:val="438403F4"/>
    <w:rsid w:val="43847137"/>
    <w:rsid w:val="439261BA"/>
    <w:rsid w:val="43947492"/>
    <w:rsid w:val="4396061B"/>
    <w:rsid w:val="439629D8"/>
    <w:rsid w:val="43BD0C0D"/>
    <w:rsid w:val="43CE7E42"/>
    <w:rsid w:val="43D671DC"/>
    <w:rsid w:val="43D92E70"/>
    <w:rsid w:val="43DA64D4"/>
    <w:rsid w:val="43DC22F2"/>
    <w:rsid w:val="43DD5866"/>
    <w:rsid w:val="43DE0837"/>
    <w:rsid w:val="43F173BE"/>
    <w:rsid w:val="43F81A00"/>
    <w:rsid w:val="43F84D22"/>
    <w:rsid w:val="43FC0EA9"/>
    <w:rsid w:val="43FC217B"/>
    <w:rsid w:val="43FF5D4B"/>
    <w:rsid w:val="440D2420"/>
    <w:rsid w:val="441D31D7"/>
    <w:rsid w:val="442558BF"/>
    <w:rsid w:val="442F6069"/>
    <w:rsid w:val="44397D28"/>
    <w:rsid w:val="44443048"/>
    <w:rsid w:val="444B19AA"/>
    <w:rsid w:val="444B3D14"/>
    <w:rsid w:val="44536EB1"/>
    <w:rsid w:val="44561984"/>
    <w:rsid w:val="44583F54"/>
    <w:rsid w:val="445B6A03"/>
    <w:rsid w:val="44645339"/>
    <w:rsid w:val="44734F70"/>
    <w:rsid w:val="4478066B"/>
    <w:rsid w:val="447922C0"/>
    <w:rsid w:val="448C2E00"/>
    <w:rsid w:val="449242EA"/>
    <w:rsid w:val="44943EAC"/>
    <w:rsid w:val="449F0850"/>
    <w:rsid w:val="44A40638"/>
    <w:rsid w:val="44A5030F"/>
    <w:rsid w:val="44A629AB"/>
    <w:rsid w:val="44A663E1"/>
    <w:rsid w:val="44A963CE"/>
    <w:rsid w:val="44AB2031"/>
    <w:rsid w:val="44AF00D9"/>
    <w:rsid w:val="44B84B7F"/>
    <w:rsid w:val="44C12BC0"/>
    <w:rsid w:val="44C34DE7"/>
    <w:rsid w:val="44CB4CF6"/>
    <w:rsid w:val="44CC2BD8"/>
    <w:rsid w:val="44CE041C"/>
    <w:rsid w:val="44D57A8C"/>
    <w:rsid w:val="44E770A3"/>
    <w:rsid w:val="44E96C35"/>
    <w:rsid w:val="44F0331B"/>
    <w:rsid w:val="44F45C58"/>
    <w:rsid w:val="45100C16"/>
    <w:rsid w:val="451551EA"/>
    <w:rsid w:val="45213D8C"/>
    <w:rsid w:val="45260617"/>
    <w:rsid w:val="452655FC"/>
    <w:rsid w:val="452759E8"/>
    <w:rsid w:val="45310ABA"/>
    <w:rsid w:val="45313399"/>
    <w:rsid w:val="453955F3"/>
    <w:rsid w:val="453D1AF3"/>
    <w:rsid w:val="454168C5"/>
    <w:rsid w:val="4542213C"/>
    <w:rsid w:val="45513C85"/>
    <w:rsid w:val="45532977"/>
    <w:rsid w:val="455B3A6B"/>
    <w:rsid w:val="455E00BA"/>
    <w:rsid w:val="45623009"/>
    <w:rsid w:val="45692D54"/>
    <w:rsid w:val="4582635D"/>
    <w:rsid w:val="45965CDA"/>
    <w:rsid w:val="45A27398"/>
    <w:rsid w:val="45A74EB7"/>
    <w:rsid w:val="45B233C3"/>
    <w:rsid w:val="45B77652"/>
    <w:rsid w:val="45B97EEB"/>
    <w:rsid w:val="45BD2507"/>
    <w:rsid w:val="45C10838"/>
    <w:rsid w:val="45C46412"/>
    <w:rsid w:val="45C80AA0"/>
    <w:rsid w:val="45CD0680"/>
    <w:rsid w:val="45D27DED"/>
    <w:rsid w:val="45D328C7"/>
    <w:rsid w:val="45DB6FD1"/>
    <w:rsid w:val="45DC651D"/>
    <w:rsid w:val="45DD3EA9"/>
    <w:rsid w:val="45DF74AE"/>
    <w:rsid w:val="45E0564C"/>
    <w:rsid w:val="45E66F13"/>
    <w:rsid w:val="45F1318A"/>
    <w:rsid w:val="45FE5EE7"/>
    <w:rsid w:val="46135063"/>
    <w:rsid w:val="461A72C7"/>
    <w:rsid w:val="462005E7"/>
    <w:rsid w:val="46244FF2"/>
    <w:rsid w:val="462A3920"/>
    <w:rsid w:val="46301AF8"/>
    <w:rsid w:val="463645BB"/>
    <w:rsid w:val="463A4197"/>
    <w:rsid w:val="4645041E"/>
    <w:rsid w:val="464A0EEC"/>
    <w:rsid w:val="465476C0"/>
    <w:rsid w:val="466B7E24"/>
    <w:rsid w:val="46711B06"/>
    <w:rsid w:val="467761BF"/>
    <w:rsid w:val="4678397B"/>
    <w:rsid w:val="467E32F9"/>
    <w:rsid w:val="46844864"/>
    <w:rsid w:val="4686001F"/>
    <w:rsid w:val="46865D69"/>
    <w:rsid w:val="46905BDB"/>
    <w:rsid w:val="46936180"/>
    <w:rsid w:val="46A52366"/>
    <w:rsid w:val="46A52576"/>
    <w:rsid w:val="46AF0CC5"/>
    <w:rsid w:val="46B90D1A"/>
    <w:rsid w:val="46BF65EA"/>
    <w:rsid w:val="46C3092E"/>
    <w:rsid w:val="46DF69C4"/>
    <w:rsid w:val="46E57E9E"/>
    <w:rsid w:val="46E63E29"/>
    <w:rsid w:val="46F5430B"/>
    <w:rsid w:val="47093ECE"/>
    <w:rsid w:val="470963D1"/>
    <w:rsid w:val="470C4FA1"/>
    <w:rsid w:val="470D3694"/>
    <w:rsid w:val="471008B7"/>
    <w:rsid w:val="4717133A"/>
    <w:rsid w:val="472502BC"/>
    <w:rsid w:val="47294A63"/>
    <w:rsid w:val="47324534"/>
    <w:rsid w:val="47373584"/>
    <w:rsid w:val="47375822"/>
    <w:rsid w:val="473A579D"/>
    <w:rsid w:val="473C1422"/>
    <w:rsid w:val="474358F6"/>
    <w:rsid w:val="47546B1C"/>
    <w:rsid w:val="47570853"/>
    <w:rsid w:val="4758264C"/>
    <w:rsid w:val="47677B79"/>
    <w:rsid w:val="476E0FED"/>
    <w:rsid w:val="47725176"/>
    <w:rsid w:val="477A675F"/>
    <w:rsid w:val="477B18BE"/>
    <w:rsid w:val="4787300A"/>
    <w:rsid w:val="4788203B"/>
    <w:rsid w:val="478E38CE"/>
    <w:rsid w:val="478E790B"/>
    <w:rsid w:val="479003E6"/>
    <w:rsid w:val="47930B79"/>
    <w:rsid w:val="47A1250C"/>
    <w:rsid w:val="47A14D26"/>
    <w:rsid w:val="47B304B7"/>
    <w:rsid w:val="47CB7AB6"/>
    <w:rsid w:val="47CE0544"/>
    <w:rsid w:val="47DB14F8"/>
    <w:rsid w:val="47E250E6"/>
    <w:rsid w:val="47E83EE3"/>
    <w:rsid w:val="47EA5037"/>
    <w:rsid w:val="47ED6D01"/>
    <w:rsid w:val="47EF17AD"/>
    <w:rsid w:val="47F351D8"/>
    <w:rsid w:val="48024D29"/>
    <w:rsid w:val="4802605D"/>
    <w:rsid w:val="48043013"/>
    <w:rsid w:val="480B350D"/>
    <w:rsid w:val="48161455"/>
    <w:rsid w:val="481629AC"/>
    <w:rsid w:val="482163FF"/>
    <w:rsid w:val="482223F2"/>
    <w:rsid w:val="48367B53"/>
    <w:rsid w:val="48385435"/>
    <w:rsid w:val="48451B89"/>
    <w:rsid w:val="484803C8"/>
    <w:rsid w:val="485F01C5"/>
    <w:rsid w:val="48645E17"/>
    <w:rsid w:val="4872119D"/>
    <w:rsid w:val="48742027"/>
    <w:rsid w:val="487F00E9"/>
    <w:rsid w:val="48802E55"/>
    <w:rsid w:val="4889284A"/>
    <w:rsid w:val="48943B29"/>
    <w:rsid w:val="48993634"/>
    <w:rsid w:val="48A439E1"/>
    <w:rsid w:val="48A52A86"/>
    <w:rsid w:val="48AB50C1"/>
    <w:rsid w:val="48AF4F14"/>
    <w:rsid w:val="48B86DB3"/>
    <w:rsid w:val="48C30AAF"/>
    <w:rsid w:val="48C330B0"/>
    <w:rsid w:val="48CC74AB"/>
    <w:rsid w:val="48CE0865"/>
    <w:rsid w:val="48DA0A20"/>
    <w:rsid w:val="48DA33C2"/>
    <w:rsid w:val="48E06CD7"/>
    <w:rsid w:val="48EF7560"/>
    <w:rsid w:val="48F46057"/>
    <w:rsid w:val="48FD3396"/>
    <w:rsid w:val="49065DCF"/>
    <w:rsid w:val="49111551"/>
    <w:rsid w:val="49150461"/>
    <w:rsid w:val="49302F0F"/>
    <w:rsid w:val="4938182D"/>
    <w:rsid w:val="49392C78"/>
    <w:rsid w:val="493A4C41"/>
    <w:rsid w:val="49561DE5"/>
    <w:rsid w:val="495E2D0A"/>
    <w:rsid w:val="49657445"/>
    <w:rsid w:val="49663794"/>
    <w:rsid w:val="49702315"/>
    <w:rsid w:val="49761B3F"/>
    <w:rsid w:val="497727C1"/>
    <w:rsid w:val="497735CF"/>
    <w:rsid w:val="49792982"/>
    <w:rsid w:val="497A01F3"/>
    <w:rsid w:val="49902C55"/>
    <w:rsid w:val="49A452E4"/>
    <w:rsid w:val="49A71191"/>
    <w:rsid w:val="49C30331"/>
    <w:rsid w:val="49C37A58"/>
    <w:rsid w:val="49C62A90"/>
    <w:rsid w:val="49CD0CEA"/>
    <w:rsid w:val="49D02C0C"/>
    <w:rsid w:val="49D8442C"/>
    <w:rsid w:val="49DE7B2F"/>
    <w:rsid w:val="49E057DA"/>
    <w:rsid w:val="49E862B8"/>
    <w:rsid w:val="49EC74B0"/>
    <w:rsid w:val="49EE2E8D"/>
    <w:rsid w:val="49EE7B5D"/>
    <w:rsid w:val="49F45035"/>
    <w:rsid w:val="49FA43B6"/>
    <w:rsid w:val="4A0357C4"/>
    <w:rsid w:val="4A154C6B"/>
    <w:rsid w:val="4A1A508C"/>
    <w:rsid w:val="4A1B186E"/>
    <w:rsid w:val="4A2B5EF5"/>
    <w:rsid w:val="4A31186A"/>
    <w:rsid w:val="4A3D59D6"/>
    <w:rsid w:val="4A421F79"/>
    <w:rsid w:val="4A510E1B"/>
    <w:rsid w:val="4A615379"/>
    <w:rsid w:val="4A615D38"/>
    <w:rsid w:val="4A676229"/>
    <w:rsid w:val="4A6F5B4C"/>
    <w:rsid w:val="4A735B79"/>
    <w:rsid w:val="4A7667AA"/>
    <w:rsid w:val="4A780D43"/>
    <w:rsid w:val="4A793DBB"/>
    <w:rsid w:val="4A7B1D90"/>
    <w:rsid w:val="4A7E648D"/>
    <w:rsid w:val="4A8570CF"/>
    <w:rsid w:val="4A895CED"/>
    <w:rsid w:val="4A8960F2"/>
    <w:rsid w:val="4A8F1671"/>
    <w:rsid w:val="4A933926"/>
    <w:rsid w:val="4A9507F2"/>
    <w:rsid w:val="4A9B0350"/>
    <w:rsid w:val="4AA62040"/>
    <w:rsid w:val="4AA62E9F"/>
    <w:rsid w:val="4AA6394C"/>
    <w:rsid w:val="4AA63E3B"/>
    <w:rsid w:val="4AAB1FDD"/>
    <w:rsid w:val="4AB432DF"/>
    <w:rsid w:val="4AC26328"/>
    <w:rsid w:val="4AC45456"/>
    <w:rsid w:val="4ACE2011"/>
    <w:rsid w:val="4AD148E2"/>
    <w:rsid w:val="4AD41711"/>
    <w:rsid w:val="4AE511F8"/>
    <w:rsid w:val="4AEA0EC8"/>
    <w:rsid w:val="4AEE4F38"/>
    <w:rsid w:val="4AEE5FCE"/>
    <w:rsid w:val="4AEF08DD"/>
    <w:rsid w:val="4AF41826"/>
    <w:rsid w:val="4AFE0436"/>
    <w:rsid w:val="4B006545"/>
    <w:rsid w:val="4B014A2C"/>
    <w:rsid w:val="4B040062"/>
    <w:rsid w:val="4B051B8C"/>
    <w:rsid w:val="4B0A1A1C"/>
    <w:rsid w:val="4B0A49C3"/>
    <w:rsid w:val="4B0C5C52"/>
    <w:rsid w:val="4B0F41C9"/>
    <w:rsid w:val="4B177536"/>
    <w:rsid w:val="4B2C48CA"/>
    <w:rsid w:val="4B3401E0"/>
    <w:rsid w:val="4B4764B5"/>
    <w:rsid w:val="4B4C59F7"/>
    <w:rsid w:val="4B547FE6"/>
    <w:rsid w:val="4B76347F"/>
    <w:rsid w:val="4B78249D"/>
    <w:rsid w:val="4B7E50A1"/>
    <w:rsid w:val="4B8223EE"/>
    <w:rsid w:val="4B834E6D"/>
    <w:rsid w:val="4B8D2BC9"/>
    <w:rsid w:val="4BA31635"/>
    <w:rsid w:val="4BAB01D3"/>
    <w:rsid w:val="4BB159E5"/>
    <w:rsid w:val="4BB36518"/>
    <w:rsid w:val="4BB86F26"/>
    <w:rsid w:val="4BBB14A0"/>
    <w:rsid w:val="4BC77F28"/>
    <w:rsid w:val="4BCF4B53"/>
    <w:rsid w:val="4BEA2859"/>
    <w:rsid w:val="4C00124A"/>
    <w:rsid w:val="4C0100CE"/>
    <w:rsid w:val="4C062E51"/>
    <w:rsid w:val="4C07336D"/>
    <w:rsid w:val="4C1367D4"/>
    <w:rsid w:val="4C20002F"/>
    <w:rsid w:val="4C2066EA"/>
    <w:rsid w:val="4C3A6181"/>
    <w:rsid w:val="4C3B4128"/>
    <w:rsid w:val="4C3D21B2"/>
    <w:rsid w:val="4C4D4BAD"/>
    <w:rsid w:val="4C594B0A"/>
    <w:rsid w:val="4C6037A3"/>
    <w:rsid w:val="4C615A6A"/>
    <w:rsid w:val="4C636DFB"/>
    <w:rsid w:val="4C662C85"/>
    <w:rsid w:val="4C7058E3"/>
    <w:rsid w:val="4C734CDF"/>
    <w:rsid w:val="4C7668DC"/>
    <w:rsid w:val="4C7B63B8"/>
    <w:rsid w:val="4C9222EA"/>
    <w:rsid w:val="4C9F22A9"/>
    <w:rsid w:val="4CA956C0"/>
    <w:rsid w:val="4CAA0156"/>
    <w:rsid w:val="4CAA7271"/>
    <w:rsid w:val="4CAC0978"/>
    <w:rsid w:val="4CAF17B4"/>
    <w:rsid w:val="4CB02325"/>
    <w:rsid w:val="4CB2099B"/>
    <w:rsid w:val="4CB57018"/>
    <w:rsid w:val="4CBB336D"/>
    <w:rsid w:val="4CBB7193"/>
    <w:rsid w:val="4CBC51D6"/>
    <w:rsid w:val="4CBE0F9C"/>
    <w:rsid w:val="4CC372EF"/>
    <w:rsid w:val="4CC3733E"/>
    <w:rsid w:val="4CC415DC"/>
    <w:rsid w:val="4CC464CE"/>
    <w:rsid w:val="4CC65ECA"/>
    <w:rsid w:val="4CCC2196"/>
    <w:rsid w:val="4CCC5D4E"/>
    <w:rsid w:val="4CCF383F"/>
    <w:rsid w:val="4CD53B9E"/>
    <w:rsid w:val="4CF20AC1"/>
    <w:rsid w:val="4CF2442A"/>
    <w:rsid w:val="4CF57525"/>
    <w:rsid w:val="4CF67999"/>
    <w:rsid w:val="4CF87715"/>
    <w:rsid w:val="4CFA18E3"/>
    <w:rsid w:val="4CFB335F"/>
    <w:rsid w:val="4CFD15A7"/>
    <w:rsid w:val="4D0324A3"/>
    <w:rsid w:val="4D034BC4"/>
    <w:rsid w:val="4D060F81"/>
    <w:rsid w:val="4D085715"/>
    <w:rsid w:val="4D117F39"/>
    <w:rsid w:val="4D23320D"/>
    <w:rsid w:val="4D3A2856"/>
    <w:rsid w:val="4D4B2806"/>
    <w:rsid w:val="4D554A30"/>
    <w:rsid w:val="4D6053EA"/>
    <w:rsid w:val="4D6E5A74"/>
    <w:rsid w:val="4D773E43"/>
    <w:rsid w:val="4D844255"/>
    <w:rsid w:val="4D856436"/>
    <w:rsid w:val="4D8F652A"/>
    <w:rsid w:val="4D904B40"/>
    <w:rsid w:val="4D9E08D5"/>
    <w:rsid w:val="4D9F4126"/>
    <w:rsid w:val="4DA96E07"/>
    <w:rsid w:val="4DB318BF"/>
    <w:rsid w:val="4DC019C3"/>
    <w:rsid w:val="4DDE6285"/>
    <w:rsid w:val="4DF51830"/>
    <w:rsid w:val="4DF87B4A"/>
    <w:rsid w:val="4DFD274B"/>
    <w:rsid w:val="4DFD6FEB"/>
    <w:rsid w:val="4DFE4D25"/>
    <w:rsid w:val="4E070BE6"/>
    <w:rsid w:val="4E092291"/>
    <w:rsid w:val="4E0B59AE"/>
    <w:rsid w:val="4E11118C"/>
    <w:rsid w:val="4E20609A"/>
    <w:rsid w:val="4E434783"/>
    <w:rsid w:val="4E525703"/>
    <w:rsid w:val="4E5600CF"/>
    <w:rsid w:val="4E5959D6"/>
    <w:rsid w:val="4E6876B1"/>
    <w:rsid w:val="4E6914FF"/>
    <w:rsid w:val="4E69332C"/>
    <w:rsid w:val="4E722459"/>
    <w:rsid w:val="4E753CDE"/>
    <w:rsid w:val="4E9032A9"/>
    <w:rsid w:val="4E97507D"/>
    <w:rsid w:val="4E9C37B2"/>
    <w:rsid w:val="4E9E555E"/>
    <w:rsid w:val="4EB374B1"/>
    <w:rsid w:val="4EBB1FD1"/>
    <w:rsid w:val="4EBB529C"/>
    <w:rsid w:val="4EC0064B"/>
    <w:rsid w:val="4EC51801"/>
    <w:rsid w:val="4ED1589F"/>
    <w:rsid w:val="4ED30EBC"/>
    <w:rsid w:val="4EDC687E"/>
    <w:rsid w:val="4EE00140"/>
    <w:rsid w:val="4EEB3036"/>
    <w:rsid w:val="4EF042B6"/>
    <w:rsid w:val="4EF34892"/>
    <w:rsid w:val="4EF36D28"/>
    <w:rsid w:val="4EFE6D7B"/>
    <w:rsid w:val="4F0F2080"/>
    <w:rsid w:val="4F12604E"/>
    <w:rsid w:val="4F16253F"/>
    <w:rsid w:val="4F162A43"/>
    <w:rsid w:val="4F186CBE"/>
    <w:rsid w:val="4F19627C"/>
    <w:rsid w:val="4F1A65F8"/>
    <w:rsid w:val="4F1A6827"/>
    <w:rsid w:val="4F1E13AF"/>
    <w:rsid w:val="4F2431A5"/>
    <w:rsid w:val="4F267E0E"/>
    <w:rsid w:val="4F3855EC"/>
    <w:rsid w:val="4F3C259F"/>
    <w:rsid w:val="4F3F2DCC"/>
    <w:rsid w:val="4F48182D"/>
    <w:rsid w:val="4F4E2BD2"/>
    <w:rsid w:val="4F5156F7"/>
    <w:rsid w:val="4F541D59"/>
    <w:rsid w:val="4F5938EE"/>
    <w:rsid w:val="4F5E2559"/>
    <w:rsid w:val="4F631C83"/>
    <w:rsid w:val="4F671076"/>
    <w:rsid w:val="4F6A56DB"/>
    <w:rsid w:val="4F7868DB"/>
    <w:rsid w:val="4F8C4F05"/>
    <w:rsid w:val="4FAD2D8E"/>
    <w:rsid w:val="4FB82161"/>
    <w:rsid w:val="4FBA5E56"/>
    <w:rsid w:val="4FBA742D"/>
    <w:rsid w:val="4FBF0B27"/>
    <w:rsid w:val="4FD215F9"/>
    <w:rsid w:val="4FDD7F99"/>
    <w:rsid w:val="4FE25144"/>
    <w:rsid w:val="4FE66B0E"/>
    <w:rsid w:val="4FE77209"/>
    <w:rsid w:val="4FED329F"/>
    <w:rsid w:val="4FF003FC"/>
    <w:rsid w:val="4FFB1312"/>
    <w:rsid w:val="4FFB2E8B"/>
    <w:rsid w:val="4FFE348E"/>
    <w:rsid w:val="500211EF"/>
    <w:rsid w:val="50026BFA"/>
    <w:rsid w:val="500627E7"/>
    <w:rsid w:val="500B6136"/>
    <w:rsid w:val="501148AA"/>
    <w:rsid w:val="50146C52"/>
    <w:rsid w:val="5016669A"/>
    <w:rsid w:val="50204239"/>
    <w:rsid w:val="50245571"/>
    <w:rsid w:val="50255D12"/>
    <w:rsid w:val="50387993"/>
    <w:rsid w:val="503A5842"/>
    <w:rsid w:val="503B2E70"/>
    <w:rsid w:val="503D4D4C"/>
    <w:rsid w:val="503E568A"/>
    <w:rsid w:val="503F6D81"/>
    <w:rsid w:val="504422BB"/>
    <w:rsid w:val="50492002"/>
    <w:rsid w:val="504A7B02"/>
    <w:rsid w:val="504B04DA"/>
    <w:rsid w:val="504E6B5C"/>
    <w:rsid w:val="50637B27"/>
    <w:rsid w:val="50710D93"/>
    <w:rsid w:val="50784A8E"/>
    <w:rsid w:val="507C7AD2"/>
    <w:rsid w:val="50891B78"/>
    <w:rsid w:val="508D5E9A"/>
    <w:rsid w:val="509A3980"/>
    <w:rsid w:val="50A9453A"/>
    <w:rsid w:val="50B97DBB"/>
    <w:rsid w:val="50BD5FCF"/>
    <w:rsid w:val="50C22B67"/>
    <w:rsid w:val="50CF35AE"/>
    <w:rsid w:val="50EA0008"/>
    <w:rsid w:val="50EA0B2E"/>
    <w:rsid w:val="50EF415C"/>
    <w:rsid w:val="50FF206F"/>
    <w:rsid w:val="51082BB7"/>
    <w:rsid w:val="510F0A1F"/>
    <w:rsid w:val="511246ED"/>
    <w:rsid w:val="511A327F"/>
    <w:rsid w:val="511A7C10"/>
    <w:rsid w:val="511F53E3"/>
    <w:rsid w:val="512067BA"/>
    <w:rsid w:val="51256D81"/>
    <w:rsid w:val="512A29CE"/>
    <w:rsid w:val="513F0A32"/>
    <w:rsid w:val="514B171F"/>
    <w:rsid w:val="514B1781"/>
    <w:rsid w:val="514E2F84"/>
    <w:rsid w:val="51504E72"/>
    <w:rsid w:val="51597F07"/>
    <w:rsid w:val="515B1D39"/>
    <w:rsid w:val="51701D45"/>
    <w:rsid w:val="518023BE"/>
    <w:rsid w:val="51856452"/>
    <w:rsid w:val="51896AF6"/>
    <w:rsid w:val="518D6892"/>
    <w:rsid w:val="519B5CD6"/>
    <w:rsid w:val="51A7324C"/>
    <w:rsid w:val="51AC7399"/>
    <w:rsid w:val="51B45715"/>
    <w:rsid w:val="51C660E1"/>
    <w:rsid w:val="51C71AB4"/>
    <w:rsid w:val="51CA594B"/>
    <w:rsid w:val="51EA147A"/>
    <w:rsid w:val="51F973AE"/>
    <w:rsid w:val="52126035"/>
    <w:rsid w:val="521E31BF"/>
    <w:rsid w:val="52247266"/>
    <w:rsid w:val="522771DE"/>
    <w:rsid w:val="522B1066"/>
    <w:rsid w:val="5241275F"/>
    <w:rsid w:val="525762DC"/>
    <w:rsid w:val="525E66D5"/>
    <w:rsid w:val="52650DED"/>
    <w:rsid w:val="52725757"/>
    <w:rsid w:val="5276754C"/>
    <w:rsid w:val="52784FB8"/>
    <w:rsid w:val="527A02C0"/>
    <w:rsid w:val="528E1939"/>
    <w:rsid w:val="52A527A4"/>
    <w:rsid w:val="52B4777D"/>
    <w:rsid w:val="52B753C1"/>
    <w:rsid w:val="52D42E39"/>
    <w:rsid w:val="52D96692"/>
    <w:rsid w:val="52DA048B"/>
    <w:rsid w:val="52E118CA"/>
    <w:rsid w:val="52E527F9"/>
    <w:rsid w:val="52ED7086"/>
    <w:rsid w:val="530211DD"/>
    <w:rsid w:val="53036053"/>
    <w:rsid w:val="530435C4"/>
    <w:rsid w:val="530A45F5"/>
    <w:rsid w:val="53164861"/>
    <w:rsid w:val="53237002"/>
    <w:rsid w:val="532D32C8"/>
    <w:rsid w:val="533D7955"/>
    <w:rsid w:val="53486019"/>
    <w:rsid w:val="53653397"/>
    <w:rsid w:val="53723671"/>
    <w:rsid w:val="5378736F"/>
    <w:rsid w:val="537C747C"/>
    <w:rsid w:val="537F4E40"/>
    <w:rsid w:val="5381475A"/>
    <w:rsid w:val="538924BD"/>
    <w:rsid w:val="538A3079"/>
    <w:rsid w:val="539032E2"/>
    <w:rsid w:val="5390407F"/>
    <w:rsid w:val="53974DF6"/>
    <w:rsid w:val="53AA112D"/>
    <w:rsid w:val="53AB7F96"/>
    <w:rsid w:val="53AC2631"/>
    <w:rsid w:val="53B82822"/>
    <w:rsid w:val="53CE3A81"/>
    <w:rsid w:val="53CF2958"/>
    <w:rsid w:val="53D615C7"/>
    <w:rsid w:val="53D640CF"/>
    <w:rsid w:val="53D9043B"/>
    <w:rsid w:val="53DB690F"/>
    <w:rsid w:val="53E05A12"/>
    <w:rsid w:val="53EC1861"/>
    <w:rsid w:val="53ED523B"/>
    <w:rsid w:val="53FB5DEC"/>
    <w:rsid w:val="54005DE5"/>
    <w:rsid w:val="540A78FC"/>
    <w:rsid w:val="54103957"/>
    <w:rsid w:val="54106391"/>
    <w:rsid w:val="541465C7"/>
    <w:rsid w:val="54202FD3"/>
    <w:rsid w:val="54234E8E"/>
    <w:rsid w:val="5428677B"/>
    <w:rsid w:val="543164CE"/>
    <w:rsid w:val="543470B9"/>
    <w:rsid w:val="543A74BD"/>
    <w:rsid w:val="544A5908"/>
    <w:rsid w:val="545444B0"/>
    <w:rsid w:val="54594DD1"/>
    <w:rsid w:val="545A6913"/>
    <w:rsid w:val="54652242"/>
    <w:rsid w:val="546A6ABE"/>
    <w:rsid w:val="546B301B"/>
    <w:rsid w:val="5481352B"/>
    <w:rsid w:val="548C60FF"/>
    <w:rsid w:val="548F3B39"/>
    <w:rsid w:val="5493618A"/>
    <w:rsid w:val="549B4EDE"/>
    <w:rsid w:val="54A76AEF"/>
    <w:rsid w:val="54AB45E9"/>
    <w:rsid w:val="54B11EC6"/>
    <w:rsid w:val="54BC4164"/>
    <w:rsid w:val="54BF3980"/>
    <w:rsid w:val="54C1556F"/>
    <w:rsid w:val="54C50E82"/>
    <w:rsid w:val="54C52A12"/>
    <w:rsid w:val="54CF0204"/>
    <w:rsid w:val="54DF2F14"/>
    <w:rsid w:val="54E24CAD"/>
    <w:rsid w:val="54F73AA9"/>
    <w:rsid w:val="5502543D"/>
    <w:rsid w:val="55041EFF"/>
    <w:rsid w:val="550609ED"/>
    <w:rsid w:val="55164DFA"/>
    <w:rsid w:val="551663CF"/>
    <w:rsid w:val="55191C91"/>
    <w:rsid w:val="551F2B73"/>
    <w:rsid w:val="55222013"/>
    <w:rsid w:val="552330F6"/>
    <w:rsid w:val="55242B5A"/>
    <w:rsid w:val="552467E1"/>
    <w:rsid w:val="55346877"/>
    <w:rsid w:val="55346CD2"/>
    <w:rsid w:val="553865F5"/>
    <w:rsid w:val="553B04E2"/>
    <w:rsid w:val="553F064F"/>
    <w:rsid w:val="55483CFF"/>
    <w:rsid w:val="55564E71"/>
    <w:rsid w:val="55570C33"/>
    <w:rsid w:val="556D4546"/>
    <w:rsid w:val="55757CA6"/>
    <w:rsid w:val="557F34E5"/>
    <w:rsid w:val="558172A1"/>
    <w:rsid w:val="55824D35"/>
    <w:rsid w:val="55887B91"/>
    <w:rsid w:val="558C1523"/>
    <w:rsid w:val="55940853"/>
    <w:rsid w:val="559C78C8"/>
    <w:rsid w:val="559F56FB"/>
    <w:rsid w:val="55A127EF"/>
    <w:rsid w:val="55A14CCB"/>
    <w:rsid w:val="55A565DC"/>
    <w:rsid w:val="55AB3D71"/>
    <w:rsid w:val="55AC41E0"/>
    <w:rsid w:val="55AE4859"/>
    <w:rsid w:val="55B81DBE"/>
    <w:rsid w:val="55BE10A0"/>
    <w:rsid w:val="55C07BE2"/>
    <w:rsid w:val="55C832AA"/>
    <w:rsid w:val="55CC396E"/>
    <w:rsid w:val="55CE0A58"/>
    <w:rsid w:val="55D24CDF"/>
    <w:rsid w:val="55DA750A"/>
    <w:rsid w:val="55DF7101"/>
    <w:rsid w:val="55E41ED6"/>
    <w:rsid w:val="55E77A98"/>
    <w:rsid w:val="55F175CE"/>
    <w:rsid w:val="55FA0E80"/>
    <w:rsid w:val="560736F8"/>
    <w:rsid w:val="560A2FD2"/>
    <w:rsid w:val="560B3450"/>
    <w:rsid w:val="560B5863"/>
    <w:rsid w:val="561B4E78"/>
    <w:rsid w:val="561E3B98"/>
    <w:rsid w:val="56246E1C"/>
    <w:rsid w:val="562B09E0"/>
    <w:rsid w:val="562D2F9C"/>
    <w:rsid w:val="562F2EA4"/>
    <w:rsid w:val="563F68BB"/>
    <w:rsid w:val="56434790"/>
    <w:rsid w:val="56454BED"/>
    <w:rsid w:val="56473977"/>
    <w:rsid w:val="564A091D"/>
    <w:rsid w:val="564E45D3"/>
    <w:rsid w:val="565D0360"/>
    <w:rsid w:val="56625C88"/>
    <w:rsid w:val="56680A69"/>
    <w:rsid w:val="566917FC"/>
    <w:rsid w:val="56765AD5"/>
    <w:rsid w:val="56775516"/>
    <w:rsid w:val="5677753E"/>
    <w:rsid w:val="567B0830"/>
    <w:rsid w:val="56815DAE"/>
    <w:rsid w:val="56837004"/>
    <w:rsid w:val="5697472B"/>
    <w:rsid w:val="56993F95"/>
    <w:rsid w:val="569B719B"/>
    <w:rsid w:val="56A26854"/>
    <w:rsid w:val="56A573D3"/>
    <w:rsid w:val="56A7209C"/>
    <w:rsid w:val="56BA0C52"/>
    <w:rsid w:val="56C110B5"/>
    <w:rsid w:val="56CC41F0"/>
    <w:rsid w:val="56CD2DDB"/>
    <w:rsid w:val="56CD6E51"/>
    <w:rsid w:val="56D6532C"/>
    <w:rsid w:val="56E6740C"/>
    <w:rsid w:val="56F477DD"/>
    <w:rsid w:val="56F52014"/>
    <w:rsid w:val="56F920E1"/>
    <w:rsid w:val="56FB5362"/>
    <w:rsid w:val="5700049E"/>
    <w:rsid w:val="570C4D31"/>
    <w:rsid w:val="57117B8A"/>
    <w:rsid w:val="571633AA"/>
    <w:rsid w:val="57202F8B"/>
    <w:rsid w:val="57224D6E"/>
    <w:rsid w:val="572A3B38"/>
    <w:rsid w:val="572D2CF9"/>
    <w:rsid w:val="572F5526"/>
    <w:rsid w:val="573E27AB"/>
    <w:rsid w:val="575015C6"/>
    <w:rsid w:val="5766028C"/>
    <w:rsid w:val="576A7302"/>
    <w:rsid w:val="576F1449"/>
    <w:rsid w:val="577364B8"/>
    <w:rsid w:val="57745514"/>
    <w:rsid w:val="57767DA0"/>
    <w:rsid w:val="57771EBB"/>
    <w:rsid w:val="577C5B12"/>
    <w:rsid w:val="577E27B5"/>
    <w:rsid w:val="57875C1B"/>
    <w:rsid w:val="579339FE"/>
    <w:rsid w:val="57A01A21"/>
    <w:rsid w:val="57AC2F3E"/>
    <w:rsid w:val="57B846AB"/>
    <w:rsid w:val="57B95EA7"/>
    <w:rsid w:val="57BB0D2F"/>
    <w:rsid w:val="57C1095E"/>
    <w:rsid w:val="57C638BF"/>
    <w:rsid w:val="57CF08D9"/>
    <w:rsid w:val="57E14F07"/>
    <w:rsid w:val="57E24C8E"/>
    <w:rsid w:val="57EC17AE"/>
    <w:rsid w:val="57F72F4B"/>
    <w:rsid w:val="58085512"/>
    <w:rsid w:val="580A602D"/>
    <w:rsid w:val="580E30C8"/>
    <w:rsid w:val="581129E7"/>
    <w:rsid w:val="5816016E"/>
    <w:rsid w:val="581E7C48"/>
    <w:rsid w:val="58345B20"/>
    <w:rsid w:val="584059A5"/>
    <w:rsid w:val="58425FC5"/>
    <w:rsid w:val="584356F6"/>
    <w:rsid w:val="58482FE8"/>
    <w:rsid w:val="584A3BB7"/>
    <w:rsid w:val="58577148"/>
    <w:rsid w:val="585D7C19"/>
    <w:rsid w:val="58657185"/>
    <w:rsid w:val="58794C02"/>
    <w:rsid w:val="588007A1"/>
    <w:rsid w:val="58813B54"/>
    <w:rsid w:val="58844D42"/>
    <w:rsid w:val="5885129D"/>
    <w:rsid w:val="5899659E"/>
    <w:rsid w:val="589B0ACA"/>
    <w:rsid w:val="58B4777B"/>
    <w:rsid w:val="58B716CB"/>
    <w:rsid w:val="58BA7EE7"/>
    <w:rsid w:val="58C21A07"/>
    <w:rsid w:val="58C636D5"/>
    <w:rsid w:val="58CB121F"/>
    <w:rsid w:val="58CB732E"/>
    <w:rsid w:val="58D65DDF"/>
    <w:rsid w:val="58D94985"/>
    <w:rsid w:val="58DB7436"/>
    <w:rsid w:val="58E2199F"/>
    <w:rsid w:val="58E90C34"/>
    <w:rsid w:val="590444A2"/>
    <w:rsid w:val="590D09A6"/>
    <w:rsid w:val="59276BA1"/>
    <w:rsid w:val="59284431"/>
    <w:rsid w:val="592F6184"/>
    <w:rsid w:val="59313407"/>
    <w:rsid w:val="59373061"/>
    <w:rsid w:val="593D3340"/>
    <w:rsid w:val="59435561"/>
    <w:rsid w:val="59457366"/>
    <w:rsid w:val="59686A2F"/>
    <w:rsid w:val="596A11FE"/>
    <w:rsid w:val="596D3C6B"/>
    <w:rsid w:val="59705488"/>
    <w:rsid w:val="5977456E"/>
    <w:rsid w:val="59794387"/>
    <w:rsid w:val="59796F2C"/>
    <w:rsid w:val="597C4817"/>
    <w:rsid w:val="59817FCA"/>
    <w:rsid w:val="598F57CD"/>
    <w:rsid w:val="5997183A"/>
    <w:rsid w:val="599E6CD8"/>
    <w:rsid w:val="599F4BE0"/>
    <w:rsid w:val="59A1398A"/>
    <w:rsid w:val="59A75481"/>
    <w:rsid w:val="59A82A14"/>
    <w:rsid w:val="59AE7025"/>
    <w:rsid w:val="59B10D76"/>
    <w:rsid w:val="59B230E9"/>
    <w:rsid w:val="59B368E2"/>
    <w:rsid w:val="59B54A4E"/>
    <w:rsid w:val="59B61250"/>
    <w:rsid w:val="59C35C2A"/>
    <w:rsid w:val="59C568EA"/>
    <w:rsid w:val="59C62748"/>
    <w:rsid w:val="59CA15DB"/>
    <w:rsid w:val="59D0320E"/>
    <w:rsid w:val="59D03428"/>
    <w:rsid w:val="59D121B2"/>
    <w:rsid w:val="59E04966"/>
    <w:rsid w:val="59E170DB"/>
    <w:rsid w:val="59E51113"/>
    <w:rsid w:val="59ED47B2"/>
    <w:rsid w:val="59ED67FB"/>
    <w:rsid w:val="59F92AAC"/>
    <w:rsid w:val="5A011DEA"/>
    <w:rsid w:val="5A035FC4"/>
    <w:rsid w:val="5A067ED3"/>
    <w:rsid w:val="5A0D18D4"/>
    <w:rsid w:val="5A1714E7"/>
    <w:rsid w:val="5A187F0B"/>
    <w:rsid w:val="5A1A1165"/>
    <w:rsid w:val="5A1D5A4B"/>
    <w:rsid w:val="5A363ECB"/>
    <w:rsid w:val="5A3F1955"/>
    <w:rsid w:val="5A431D05"/>
    <w:rsid w:val="5A643739"/>
    <w:rsid w:val="5A7119E6"/>
    <w:rsid w:val="5A7B200A"/>
    <w:rsid w:val="5A81067E"/>
    <w:rsid w:val="5A863FB7"/>
    <w:rsid w:val="5A8938F1"/>
    <w:rsid w:val="5A8E0153"/>
    <w:rsid w:val="5A9121CE"/>
    <w:rsid w:val="5A9422B1"/>
    <w:rsid w:val="5A9809EA"/>
    <w:rsid w:val="5A9926D8"/>
    <w:rsid w:val="5A9F3A04"/>
    <w:rsid w:val="5AA95B4E"/>
    <w:rsid w:val="5AB4009D"/>
    <w:rsid w:val="5ABB7AEF"/>
    <w:rsid w:val="5AC32F63"/>
    <w:rsid w:val="5AC35729"/>
    <w:rsid w:val="5AC67E2A"/>
    <w:rsid w:val="5ACF1439"/>
    <w:rsid w:val="5AD02C57"/>
    <w:rsid w:val="5ADD4712"/>
    <w:rsid w:val="5ADF5908"/>
    <w:rsid w:val="5AE047F9"/>
    <w:rsid w:val="5AE168A2"/>
    <w:rsid w:val="5AEB2E67"/>
    <w:rsid w:val="5AEB4B4E"/>
    <w:rsid w:val="5AED6A08"/>
    <w:rsid w:val="5AF23CD0"/>
    <w:rsid w:val="5B0A7712"/>
    <w:rsid w:val="5B100A1A"/>
    <w:rsid w:val="5B1875DA"/>
    <w:rsid w:val="5B1F5D95"/>
    <w:rsid w:val="5B2356F7"/>
    <w:rsid w:val="5B2D2116"/>
    <w:rsid w:val="5B3354D7"/>
    <w:rsid w:val="5B3A049C"/>
    <w:rsid w:val="5B3A4C16"/>
    <w:rsid w:val="5B3B21C7"/>
    <w:rsid w:val="5B477DA3"/>
    <w:rsid w:val="5B4F0EAD"/>
    <w:rsid w:val="5B577DEF"/>
    <w:rsid w:val="5B5E2E55"/>
    <w:rsid w:val="5B816427"/>
    <w:rsid w:val="5B83317C"/>
    <w:rsid w:val="5B9759DD"/>
    <w:rsid w:val="5B9C13FB"/>
    <w:rsid w:val="5BA17EA3"/>
    <w:rsid w:val="5BA33901"/>
    <w:rsid w:val="5BA75831"/>
    <w:rsid w:val="5BAB4A53"/>
    <w:rsid w:val="5BAF4C01"/>
    <w:rsid w:val="5BB32FD8"/>
    <w:rsid w:val="5BBF20F9"/>
    <w:rsid w:val="5BC97063"/>
    <w:rsid w:val="5BDC149F"/>
    <w:rsid w:val="5BE03C68"/>
    <w:rsid w:val="5BEA57B1"/>
    <w:rsid w:val="5BF410C8"/>
    <w:rsid w:val="5BF57B29"/>
    <w:rsid w:val="5C0457DB"/>
    <w:rsid w:val="5C0F2DE5"/>
    <w:rsid w:val="5C1502B2"/>
    <w:rsid w:val="5C20281B"/>
    <w:rsid w:val="5C2A0573"/>
    <w:rsid w:val="5C2D3FE4"/>
    <w:rsid w:val="5C335BAC"/>
    <w:rsid w:val="5C37745B"/>
    <w:rsid w:val="5C382128"/>
    <w:rsid w:val="5C3A0A76"/>
    <w:rsid w:val="5C3E2018"/>
    <w:rsid w:val="5C41513F"/>
    <w:rsid w:val="5C4165E3"/>
    <w:rsid w:val="5C427101"/>
    <w:rsid w:val="5C492BD0"/>
    <w:rsid w:val="5C4A461C"/>
    <w:rsid w:val="5C4B0C3C"/>
    <w:rsid w:val="5C5315E4"/>
    <w:rsid w:val="5C697C21"/>
    <w:rsid w:val="5C6B2504"/>
    <w:rsid w:val="5C6B4AD7"/>
    <w:rsid w:val="5C7F4EB9"/>
    <w:rsid w:val="5C8356E6"/>
    <w:rsid w:val="5C883581"/>
    <w:rsid w:val="5C897FBA"/>
    <w:rsid w:val="5C8A31FF"/>
    <w:rsid w:val="5C8D6EDE"/>
    <w:rsid w:val="5C9328E9"/>
    <w:rsid w:val="5CA573F1"/>
    <w:rsid w:val="5CAB1E1A"/>
    <w:rsid w:val="5CB955BC"/>
    <w:rsid w:val="5CBA53CE"/>
    <w:rsid w:val="5CBD16F0"/>
    <w:rsid w:val="5CCB1FD5"/>
    <w:rsid w:val="5CD460D0"/>
    <w:rsid w:val="5CD83F26"/>
    <w:rsid w:val="5CDE2137"/>
    <w:rsid w:val="5CE54541"/>
    <w:rsid w:val="5CED01FF"/>
    <w:rsid w:val="5CF050E4"/>
    <w:rsid w:val="5CFD16CA"/>
    <w:rsid w:val="5D0D5A74"/>
    <w:rsid w:val="5D177842"/>
    <w:rsid w:val="5D1D678A"/>
    <w:rsid w:val="5D221689"/>
    <w:rsid w:val="5D237A02"/>
    <w:rsid w:val="5D3A69D3"/>
    <w:rsid w:val="5D3C57FA"/>
    <w:rsid w:val="5D410F20"/>
    <w:rsid w:val="5D591C61"/>
    <w:rsid w:val="5D607EF2"/>
    <w:rsid w:val="5D6819EA"/>
    <w:rsid w:val="5D8C58D1"/>
    <w:rsid w:val="5D8D55F2"/>
    <w:rsid w:val="5D9310D8"/>
    <w:rsid w:val="5D9A2222"/>
    <w:rsid w:val="5DA40489"/>
    <w:rsid w:val="5DA558CB"/>
    <w:rsid w:val="5DAC2145"/>
    <w:rsid w:val="5DB518AA"/>
    <w:rsid w:val="5DCB6B47"/>
    <w:rsid w:val="5DD01A1D"/>
    <w:rsid w:val="5DD0460F"/>
    <w:rsid w:val="5DD47483"/>
    <w:rsid w:val="5DD52DAB"/>
    <w:rsid w:val="5DD5329F"/>
    <w:rsid w:val="5DDC58C1"/>
    <w:rsid w:val="5DE33709"/>
    <w:rsid w:val="5DE52591"/>
    <w:rsid w:val="5DE84EDB"/>
    <w:rsid w:val="5DED3C49"/>
    <w:rsid w:val="5DEE0D2C"/>
    <w:rsid w:val="5DEF395B"/>
    <w:rsid w:val="5DF66BF5"/>
    <w:rsid w:val="5DFE20F6"/>
    <w:rsid w:val="5E012B26"/>
    <w:rsid w:val="5E03730E"/>
    <w:rsid w:val="5E037999"/>
    <w:rsid w:val="5E0E5EF6"/>
    <w:rsid w:val="5E13730F"/>
    <w:rsid w:val="5E157662"/>
    <w:rsid w:val="5E1D2573"/>
    <w:rsid w:val="5E2326A4"/>
    <w:rsid w:val="5E263EAC"/>
    <w:rsid w:val="5E2A5B58"/>
    <w:rsid w:val="5E3754FA"/>
    <w:rsid w:val="5E3C71EE"/>
    <w:rsid w:val="5E421842"/>
    <w:rsid w:val="5E4E74DF"/>
    <w:rsid w:val="5E8E3D19"/>
    <w:rsid w:val="5E92203F"/>
    <w:rsid w:val="5E940365"/>
    <w:rsid w:val="5E9408F9"/>
    <w:rsid w:val="5E972549"/>
    <w:rsid w:val="5E976C1F"/>
    <w:rsid w:val="5EA06008"/>
    <w:rsid w:val="5EC72AFB"/>
    <w:rsid w:val="5ED27942"/>
    <w:rsid w:val="5ED3521C"/>
    <w:rsid w:val="5ED523CE"/>
    <w:rsid w:val="5EDA2385"/>
    <w:rsid w:val="5EDD4A7A"/>
    <w:rsid w:val="5EDF1A3C"/>
    <w:rsid w:val="5EE626DC"/>
    <w:rsid w:val="5EE93872"/>
    <w:rsid w:val="5EEE5CC7"/>
    <w:rsid w:val="5EF46CC8"/>
    <w:rsid w:val="5F0376EB"/>
    <w:rsid w:val="5F0D6E1F"/>
    <w:rsid w:val="5F1533DF"/>
    <w:rsid w:val="5F2F1CEF"/>
    <w:rsid w:val="5F3924E7"/>
    <w:rsid w:val="5F3E2D6C"/>
    <w:rsid w:val="5F3F29C6"/>
    <w:rsid w:val="5F455213"/>
    <w:rsid w:val="5F534722"/>
    <w:rsid w:val="5F555D46"/>
    <w:rsid w:val="5F5A53ED"/>
    <w:rsid w:val="5F66471B"/>
    <w:rsid w:val="5F6811DD"/>
    <w:rsid w:val="5F735F76"/>
    <w:rsid w:val="5F80065A"/>
    <w:rsid w:val="5F8525E6"/>
    <w:rsid w:val="5F8C5D45"/>
    <w:rsid w:val="5F977EAB"/>
    <w:rsid w:val="5FA057DA"/>
    <w:rsid w:val="5FA579C6"/>
    <w:rsid w:val="5FAA44CE"/>
    <w:rsid w:val="5FB90BD5"/>
    <w:rsid w:val="5FC104A7"/>
    <w:rsid w:val="5FC11C9E"/>
    <w:rsid w:val="5FC32593"/>
    <w:rsid w:val="5FC47E97"/>
    <w:rsid w:val="5FD55354"/>
    <w:rsid w:val="5FD85CFD"/>
    <w:rsid w:val="5FDD288D"/>
    <w:rsid w:val="5FE2467F"/>
    <w:rsid w:val="5FEB43DD"/>
    <w:rsid w:val="5FFB5E46"/>
    <w:rsid w:val="5FFD765D"/>
    <w:rsid w:val="6001042F"/>
    <w:rsid w:val="600432B8"/>
    <w:rsid w:val="60056DED"/>
    <w:rsid w:val="60086FB6"/>
    <w:rsid w:val="600E2FD5"/>
    <w:rsid w:val="60290264"/>
    <w:rsid w:val="60350649"/>
    <w:rsid w:val="6039486C"/>
    <w:rsid w:val="603A701E"/>
    <w:rsid w:val="603B4D03"/>
    <w:rsid w:val="60433525"/>
    <w:rsid w:val="605202D0"/>
    <w:rsid w:val="6053202A"/>
    <w:rsid w:val="60554D0E"/>
    <w:rsid w:val="607029BE"/>
    <w:rsid w:val="60725FE1"/>
    <w:rsid w:val="60747133"/>
    <w:rsid w:val="60770723"/>
    <w:rsid w:val="60774D58"/>
    <w:rsid w:val="60803B68"/>
    <w:rsid w:val="6082384B"/>
    <w:rsid w:val="60834689"/>
    <w:rsid w:val="609603C4"/>
    <w:rsid w:val="609E0430"/>
    <w:rsid w:val="60A060D9"/>
    <w:rsid w:val="60A91753"/>
    <w:rsid w:val="60B03E85"/>
    <w:rsid w:val="60B204F6"/>
    <w:rsid w:val="60BA1525"/>
    <w:rsid w:val="60BD2229"/>
    <w:rsid w:val="60BF785F"/>
    <w:rsid w:val="60C163CA"/>
    <w:rsid w:val="60C9711C"/>
    <w:rsid w:val="60CB1E75"/>
    <w:rsid w:val="60D3748B"/>
    <w:rsid w:val="60E07B26"/>
    <w:rsid w:val="60E567F3"/>
    <w:rsid w:val="60F04F40"/>
    <w:rsid w:val="60F52057"/>
    <w:rsid w:val="61096DE8"/>
    <w:rsid w:val="61133FF4"/>
    <w:rsid w:val="611407B2"/>
    <w:rsid w:val="61187140"/>
    <w:rsid w:val="611B2E62"/>
    <w:rsid w:val="61295B47"/>
    <w:rsid w:val="612E01AC"/>
    <w:rsid w:val="612F560F"/>
    <w:rsid w:val="61335078"/>
    <w:rsid w:val="613773FD"/>
    <w:rsid w:val="61387437"/>
    <w:rsid w:val="614723A2"/>
    <w:rsid w:val="614C4E07"/>
    <w:rsid w:val="614C6762"/>
    <w:rsid w:val="61534805"/>
    <w:rsid w:val="615D0FD8"/>
    <w:rsid w:val="615F4DC7"/>
    <w:rsid w:val="61611119"/>
    <w:rsid w:val="61613E43"/>
    <w:rsid w:val="61722909"/>
    <w:rsid w:val="61744F91"/>
    <w:rsid w:val="61796E5F"/>
    <w:rsid w:val="617A125E"/>
    <w:rsid w:val="617C6848"/>
    <w:rsid w:val="617F7477"/>
    <w:rsid w:val="61881708"/>
    <w:rsid w:val="61895438"/>
    <w:rsid w:val="618B3CA1"/>
    <w:rsid w:val="618D5DD0"/>
    <w:rsid w:val="618E4FA2"/>
    <w:rsid w:val="619141A5"/>
    <w:rsid w:val="619D2A49"/>
    <w:rsid w:val="61A722E4"/>
    <w:rsid w:val="61BB5F74"/>
    <w:rsid w:val="61CD3A67"/>
    <w:rsid w:val="61DE2077"/>
    <w:rsid w:val="61E941DB"/>
    <w:rsid w:val="61EB185B"/>
    <w:rsid w:val="61F33341"/>
    <w:rsid w:val="61F84B32"/>
    <w:rsid w:val="620161A9"/>
    <w:rsid w:val="62196483"/>
    <w:rsid w:val="622021D7"/>
    <w:rsid w:val="62217B1A"/>
    <w:rsid w:val="62254786"/>
    <w:rsid w:val="622F0FB7"/>
    <w:rsid w:val="62380864"/>
    <w:rsid w:val="623A4530"/>
    <w:rsid w:val="62471EDF"/>
    <w:rsid w:val="624E6B59"/>
    <w:rsid w:val="627418D6"/>
    <w:rsid w:val="627603DE"/>
    <w:rsid w:val="627B5FC4"/>
    <w:rsid w:val="627E4AD0"/>
    <w:rsid w:val="627F13B6"/>
    <w:rsid w:val="62860544"/>
    <w:rsid w:val="62904622"/>
    <w:rsid w:val="62934660"/>
    <w:rsid w:val="629C4F4C"/>
    <w:rsid w:val="62A316F0"/>
    <w:rsid w:val="62A8479C"/>
    <w:rsid w:val="62BD64E3"/>
    <w:rsid w:val="62BF50D5"/>
    <w:rsid w:val="62CB0C92"/>
    <w:rsid w:val="62CD03B1"/>
    <w:rsid w:val="62CD11DB"/>
    <w:rsid w:val="62E70FDE"/>
    <w:rsid w:val="62F254D7"/>
    <w:rsid w:val="63040D7F"/>
    <w:rsid w:val="630E769D"/>
    <w:rsid w:val="631C471E"/>
    <w:rsid w:val="631D301E"/>
    <w:rsid w:val="631E0482"/>
    <w:rsid w:val="63232C7B"/>
    <w:rsid w:val="632B3612"/>
    <w:rsid w:val="632C343C"/>
    <w:rsid w:val="63334D2A"/>
    <w:rsid w:val="633F4D43"/>
    <w:rsid w:val="634D1AD8"/>
    <w:rsid w:val="63512F17"/>
    <w:rsid w:val="635559DB"/>
    <w:rsid w:val="6357288E"/>
    <w:rsid w:val="635E0CBD"/>
    <w:rsid w:val="635F27A5"/>
    <w:rsid w:val="63601ED7"/>
    <w:rsid w:val="63637AC1"/>
    <w:rsid w:val="63674018"/>
    <w:rsid w:val="63677DAA"/>
    <w:rsid w:val="63692674"/>
    <w:rsid w:val="636B69D8"/>
    <w:rsid w:val="637561BD"/>
    <w:rsid w:val="6379750C"/>
    <w:rsid w:val="637F0229"/>
    <w:rsid w:val="63840701"/>
    <w:rsid w:val="638569FE"/>
    <w:rsid w:val="63857019"/>
    <w:rsid w:val="63994338"/>
    <w:rsid w:val="63A51AF2"/>
    <w:rsid w:val="63AA7978"/>
    <w:rsid w:val="63BB29A3"/>
    <w:rsid w:val="63C87A77"/>
    <w:rsid w:val="63CD1B3C"/>
    <w:rsid w:val="63D4213D"/>
    <w:rsid w:val="63D80A2D"/>
    <w:rsid w:val="63DE76F4"/>
    <w:rsid w:val="63E1762B"/>
    <w:rsid w:val="63E660DD"/>
    <w:rsid w:val="63E91514"/>
    <w:rsid w:val="63EA5D17"/>
    <w:rsid w:val="63EB6432"/>
    <w:rsid w:val="63F311A1"/>
    <w:rsid w:val="63FA3360"/>
    <w:rsid w:val="63FC4EFE"/>
    <w:rsid w:val="64074302"/>
    <w:rsid w:val="64087F21"/>
    <w:rsid w:val="640D1D42"/>
    <w:rsid w:val="641C5CE4"/>
    <w:rsid w:val="64274E09"/>
    <w:rsid w:val="64290E63"/>
    <w:rsid w:val="642C5B81"/>
    <w:rsid w:val="643B0621"/>
    <w:rsid w:val="643D7D19"/>
    <w:rsid w:val="644053E8"/>
    <w:rsid w:val="644C3A8D"/>
    <w:rsid w:val="644D143A"/>
    <w:rsid w:val="64592C38"/>
    <w:rsid w:val="645D01DA"/>
    <w:rsid w:val="645E3EEA"/>
    <w:rsid w:val="645F21F5"/>
    <w:rsid w:val="646C3ECE"/>
    <w:rsid w:val="647327C0"/>
    <w:rsid w:val="6473473A"/>
    <w:rsid w:val="64951EE4"/>
    <w:rsid w:val="64987EE3"/>
    <w:rsid w:val="64AC0391"/>
    <w:rsid w:val="64BA1B6A"/>
    <w:rsid w:val="64BC709F"/>
    <w:rsid w:val="64C2451E"/>
    <w:rsid w:val="64C8451C"/>
    <w:rsid w:val="64C84E25"/>
    <w:rsid w:val="64D3575E"/>
    <w:rsid w:val="64D53BF8"/>
    <w:rsid w:val="64D94374"/>
    <w:rsid w:val="64E234BB"/>
    <w:rsid w:val="64F723E1"/>
    <w:rsid w:val="65023877"/>
    <w:rsid w:val="65161D95"/>
    <w:rsid w:val="651749B5"/>
    <w:rsid w:val="6517632A"/>
    <w:rsid w:val="65192E68"/>
    <w:rsid w:val="651E2F34"/>
    <w:rsid w:val="651F6DF6"/>
    <w:rsid w:val="65227639"/>
    <w:rsid w:val="65232175"/>
    <w:rsid w:val="6536281D"/>
    <w:rsid w:val="65380752"/>
    <w:rsid w:val="653D1E96"/>
    <w:rsid w:val="653E0445"/>
    <w:rsid w:val="654D421A"/>
    <w:rsid w:val="65525163"/>
    <w:rsid w:val="656C659C"/>
    <w:rsid w:val="65754B30"/>
    <w:rsid w:val="659057F1"/>
    <w:rsid w:val="65A55C29"/>
    <w:rsid w:val="65AD3621"/>
    <w:rsid w:val="65BE0ED6"/>
    <w:rsid w:val="65C43F3E"/>
    <w:rsid w:val="65C45819"/>
    <w:rsid w:val="65D91554"/>
    <w:rsid w:val="65E00A03"/>
    <w:rsid w:val="65E93144"/>
    <w:rsid w:val="65F0215D"/>
    <w:rsid w:val="65F90173"/>
    <w:rsid w:val="65F97984"/>
    <w:rsid w:val="66066DC8"/>
    <w:rsid w:val="66066F35"/>
    <w:rsid w:val="6611371A"/>
    <w:rsid w:val="66125ADA"/>
    <w:rsid w:val="66162C90"/>
    <w:rsid w:val="663761A5"/>
    <w:rsid w:val="66432490"/>
    <w:rsid w:val="66443686"/>
    <w:rsid w:val="664439BC"/>
    <w:rsid w:val="664A5079"/>
    <w:rsid w:val="664B56AF"/>
    <w:rsid w:val="66565457"/>
    <w:rsid w:val="665D3A02"/>
    <w:rsid w:val="665E6B08"/>
    <w:rsid w:val="66601C5E"/>
    <w:rsid w:val="666A7A01"/>
    <w:rsid w:val="667028EA"/>
    <w:rsid w:val="667770BA"/>
    <w:rsid w:val="6684041C"/>
    <w:rsid w:val="66873C9D"/>
    <w:rsid w:val="668E1082"/>
    <w:rsid w:val="66926B9B"/>
    <w:rsid w:val="669B0054"/>
    <w:rsid w:val="669C6E7B"/>
    <w:rsid w:val="66A33A41"/>
    <w:rsid w:val="66A42F7C"/>
    <w:rsid w:val="66AE71A9"/>
    <w:rsid w:val="66B60564"/>
    <w:rsid w:val="66BC4AB1"/>
    <w:rsid w:val="66C25DE7"/>
    <w:rsid w:val="66CC5BD1"/>
    <w:rsid w:val="66CE74F6"/>
    <w:rsid w:val="66D6776C"/>
    <w:rsid w:val="66E654DD"/>
    <w:rsid w:val="66F3465C"/>
    <w:rsid w:val="67156A59"/>
    <w:rsid w:val="67166DA2"/>
    <w:rsid w:val="67220C03"/>
    <w:rsid w:val="672413A3"/>
    <w:rsid w:val="67253763"/>
    <w:rsid w:val="673000DE"/>
    <w:rsid w:val="67375E18"/>
    <w:rsid w:val="673F7E8D"/>
    <w:rsid w:val="67565CC7"/>
    <w:rsid w:val="67587288"/>
    <w:rsid w:val="675E6E3C"/>
    <w:rsid w:val="67605713"/>
    <w:rsid w:val="67626194"/>
    <w:rsid w:val="677339B2"/>
    <w:rsid w:val="67774CC9"/>
    <w:rsid w:val="677D5084"/>
    <w:rsid w:val="678346D3"/>
    <w:rsid w:val="678542E1"/>
    <w:rsid w:val="678A7186"/>
    <w:rsid w:val="678E4F3F"/>
    <w:rsid w:val="678F406A"/>
    <w:rsid w:val="67A12DFB"/>
    <w:rsid w:val="67A4484B"/>
    <w:rsid w:val="67A5589C"/>
    <w:rsid w:val="67A90F13"/>
    <w:rsid w:val="67B06055"/>
    <w:rsid w:val="67B92FA5"/>
    <w:rsid w:val="67BC78BD"/>
    <w:rsid w:val="67BF6316"/>
    <w:rsid w:val="67C619AA"/>
    <w:rsid w:val="67C84689"/>
    <w:rsid w:val="67C87F0B"/>
    <w:rsid w:val="67CB0BB4"/>
    <w:rsid w:val="67CD6CC5"/>
    <w:rsid w:val="67DC742E"/>
    <w:rsid w:val="67E0162D"/>
    <w:rsid w:val="67E85F1E"/>
    <w:rsid w:val="67E926DE"/>
    <w:rsid w:val="67EC3407"/>
    <w:rsid w:val="67EE034F"/>
    <w:rsid w:val="68005351"/>
    <w:rsid w:val="680A1507"/>
    <w:rsid w:val="681625CE"/>
    <w:rsid w:val="68162FC2"/>
    <w:rsid w:val="681E3397"/>
    <w:rsid w:val="681E5B25"/>
    <w:rsid w:val="68223101"/>
    <w:rsid w:val="682438CE"/>
    <w:rsid w:val="68263E8F"/>
    <w:rsid w:val="68295B1E"/>
    <w:rsid w:val="682D62D8"/>
    <w:rsid w:val="683F47AC"/>
    <w:rsid w:val="68427A5C"/>
    <w:rsid w:val="68442CF0"/>
    <w:rsid w:val="684A0D0F"/>
    <w:rsid w:val="685059F2"/>
    <w:rsid w:val="685135C8"/>
    <w:rsid w:val="685160D7"/>
    <w:rsid w:val="685C611E"/>
    <w:rsid w:val="68616696"/>
    <w:rsid w:val="686703E0"/>
    <w:rsid w:val="686758EC"/>
    <w:rsid w:val="687A5A21"/>
    <w:rsid w:val="68867444"/>
    <w:rsid w:val="68875F5F"/>
    <w:rsid w:val="688B4AEC"/>
    <w:rsid w:val="688E4129"/>
    <w:rsid w:val="68984AAD"/>
    <w:rsid w:val="689A0A40"/>
    <w:rsid w:val="68A17E29"/>
    <w:rsid w:val="68A326FE"/>
    <w:rsid w:val="68A61A2B"/>
    <w:rsid w:val="68AC6ED7"/>
    <w:rsid w:val="68B13B5B"/>
    <w:rsid w:val="68B268C0"/>
    <w:rsid w:val="68B55E3F"/>
    <w:rsid w:val="68B87368"/>
    <w:rsid w:val="68C12037"/>
    <w:rsid w:val="68CB366A"/>
    <w:rsid w:val="68D254B4"/>
    <w:rsid w:val="68D81C27"/>
    <w:rsid w:val="68DB4D85"/>
    <w:rsid w:val="68E64AEC"/>
    <w:rsid w:val="68E93083"/>
    <w:rsid w:val="68EB00B9"/>
    <w:rsid w:val="68EC7DDD"/>
    <w:rsid w:val="68EE5421"/>
    <w:rsid w:val="68F178A1"/>
    <w:rsid w:val="68F7052E"/>
    <w:rsid w:val="68FF56E0"/>
    <w:rsid w:val="69000088"/>
    <w:rsid w:val="690E6AF9"/>
    <w:rsid w:val="69136588"/>
    <w:rsid w:val="6916159F"/>
    <w:rsid w:val="6918295F"/>
    <w:rsid w:val="691861F3"/>
    <w:rsid w:val="691F2BB4"/>
    <w:rsid w:val="69290DE0"/>
    <w:rsid w:val="69291BB2"/>
    <w:rsid w:val="693332B1"/>
    <w:rsid w:val="693709C9"/>
    <w:rsid w:val="693A1FD4"/>
    <w:rsid w:val="693E5FFF"/>
    <w:rsid w:val="694515FD"/>
    <w:rsid w:val="695319AF"/>
    <w:rsid w:val="695744F3"/>
    <w:rsid w:val="69582217"/>
    <w:rsid w:val="69662452"/>
    <w:rsid w:val="69696A60"/>
    <w:rsid w:val="696C1719"/>
    <w:rsid w:val="697E3AD2"/>
    <w:rsid w:val="69914E1F"/>
    <w:rsid w:val="699A6E01"/>
    <w:rsid w:val="699C551A"/>
    <w:rsid w:val="699D3252"/>
    <w:rsid w:val="69A06E63"/>
    <w:rsid w:val="69A26C02"/>
    <w:rsid w:val="69A27220"/>
    <w:rsid w:val="69AD2892"/>
    <w:rsid w:val="69B70C74"/>
    <w:rsid w:val="69B95845"/>
    <w:rsid w:val="69BB2365"/>
    <w:rsid w:val="69BE1C0D"/>
    <w:rsid w:val="69C942B1"/>
    <w:rsid w:val="69CD04C5"/>
    <w:rsid w:val="69D1283F"/>
    <w:rsid w:val="69D81C3C"/>
    <w:rsid w:val="69D949D4"/>
    <w:rsid w:val="69E0265B"/>
    <w:rsid w:val="69E2405D"/>
    <w:rsid w:val="69E73B9D"/>
    <w:rsid w:val="69E86448"/>
    <w:rsid w:val="69E95D43"/>
    <w:rsid w:val="6A0A1036"/>
    <w:rsid w:val="6A0B0008"/>
    <w:rsid w:val="6A106EB7"/>
    <w:rsid w:val="6A135441"/>
    <w:rsid w:val="6A193A9D"/>
    <w:rsid w:val="6A2615A3"/>
    <w:rsid w:val="6A292EBA"/>
    <w:rsid w:val="6A3721E9"/>
    <w:rsid w:val="6A3750A5"/>
    <w:rsid w:val="6A3B08FB"/>
    <w:rsid w:val="6A415844"/>
    <w:rsid w:val="6A4D5DF3"/>
    <w:rsid w:val="6A4E79EA"/>
    <w:rsid w:val="6A5624A1"/>
    <w:rsid w:val="6A5A46D0"/>
    <w:rsid w:val="6A7F0A65"/>
    <w:rsid w:val="6A8422A0"/>
    <w:rsid w:val="6A89154F"/>
    <w:rsid w:val="6A9D5CCD"/>
    <w:rsid w:val="6A9E71ED"/>
    <w:rsid w:val="6AA334AF"/>
    <w:rsid w:val="6AA706CB"/>
    <w:rsid w:val="6AC66A0B"/>
    <w:rsid w:val="6AC736FA"/>
    <w:rsid w:val="6ACC4678"/>
    <w:rsid w:val="6AD56733"/>
    <w:rsid w:val="6AD96BC0"/>
    <w:rsid w:val="6AF235C2"/>
    <w:rsid w:val="6B04691D"/>
    <w:rsid w:val="6B07459D"/>
    <w:rsid w:val="6B0944FD"/>
    <w:rsid w:val="6B157B3E"/>
    <w:rsid w:val="6B170912"/>
    <w:rsid w:val="6B1B1DE3"/>
    <w:rsid w:val="6B2571EB"/>
    <w:rsid w:val="6B273CE4"/>
    <w:rsid w:val="6B312323"/>
    <w:rsid w:val="6B436EAE"/>
    <w:rsid w:val="6B455484"/>
    <w:rsid w:val="6B455B10"/>
    <w:rsid w:val="6B4E225F"/>
    <w:rsid w:val="6B5622AA"/>
    <w:rsid w:val="6B6319F1"/>
    <w:rsid w:val="6B6A2BDC"/>
    <w:rsid w:val="6B6A749B"/>
    <w:rsid w:val="6B6C3160"/>
    <w:rsid w:val="6B6D010C"/>
    <w:rsid w:val="6B6E5435"/>
    <w:rsid w:val="6B77015A"/>
    <w:rsid w:val="6B7B312A"/>
    <w:rsid w:val="6B7E715D"/>
    <w:rsid w:val="6B8D70BE"/>
    <w:rsid w:val="6B9A3915"/>
    <w:rsid w:val="6BA55B30"/>
    <w:rsid w:val="6BB26512"/>
    <w:rsid w:val="6BBB1656"/>
    <w:rsid w:val="6BCC23FC"/>
    <w:rsid w:val="6BCE435C"/>
    <w:rsid w:val="6BCF769C"/>
    <w:rsid w:val="6BD95B88"/>
    <w:rsid w:val="6BDB7410"/>
    <w:rsid w:val="6BDD7312"/>
    <w:rsid w:val="6BFA39DF"/>
    <w:rsid w:val="6C0142C7"/>
    <w:rsid w:val="6C0621E0"/>
    <w:rsid w:val="6C11632F"/>
    <w:rsid w:val="6C1407C2"/>
    <w:rsid w:val="6C1D53C2"/>
    <w:rsid w:val="6C1D6947"/>
    <w:rsid w:val="6C2068E2"/>
    <w:rsid w:val="6C214436"/>
    <w:rsid w:val="6C254AB2"/>
    <w:rsid w:val="6C3B6641"/>
    <w:rsid w:val="6C4D5568"/>
    <w:rsid w:val="6C4E6537"/>
    <w:rsid w:val="6C59493F"/>
    <w:rsid w:val="6C5A01BC"/>
    <w:rsid w:val="6C5E2B1C"/>
    <w:rsid w:val="6C5E53E3"/>
    <w:rsid w:val="6C687943"/>
    <w:rsid w:val="6C6A57D1"/>
    <w:rsid w:val="6C702E1E"/>
    <w:rsid w:val="6C762E40"/>
    <w:rsid w:val="6C775888"/>
    <w:rsid w:val="6C787630"/>
    <w:rsid w:val="6C7A072A"/>
    <w:rsid w:val="6C7E7835"/>
    <w:rsid w:val="6C854DAD"/>
    <w:rsid w:val="6C8710B4"/>
    <w:rsid w:val="6C8B19E9"/>
    <w:rsid w:val="6C905966"/>
    <w:rsid w:val="6C9156ED"/>
    <w:rsid w:val="6C943085"/>
    <w:rsid w:val="6C9E7A14"/>
    <w:rsid w:val="6CA3567D"/>
    <w:rsid w:val="6CA750CD"/>
    <w:rsid w:val="6CAB2631"/>
    <w:rsid w:val="6CAC4340"/>
    <w:rsid w:val="6CAD5473"/>
    <w:rsid w:val="6CB0280D"/>
    <w:rsid w:val="6CB67ED3"/>
    <w:rsid w:val="6CB778B8"/>
    <w:rsid w:val="6CBB3205"/>
    <w:rsid w:val="6CC42F81"/>
    <w:rsid w:val="6CE97A9C"/>
    <w:rsid w:val="6CED7B1E"/>
    <w:rsid w:val="6CF1595A"/>
    <w:rsid w:val="6CF27E42"/>
    <w:rsid w:val="6CFE305B"/>
    <w:rsid w:val="6D00078D"/>
    <w:rsid w:val="6D03705E"/>
    <w:rsid w:val="6D0B213A"/>
    <w:rsid w:val="6D165A26"/>
    <w:rsid w:val="6D1D11F5"/>
    <w:rsid w:val="6D2D0302"/>
    <w:rsid w:val="6D3F7318"/>
    <w:rsid w:val="6D411F41"/>
    <w:rsid w:val="6D4875E6"/>
    <w:rsid w:val="6D4F5FBD"/>
    <w:rsid w:val="6D5530C8"/>
    <w:rsid w:val="6D5A4DE9"/>
    <w:rsid w:val="6D60170F"/>
    <w:rsid w:val="6D604B62"/>
    <w:rsid w:val="6D654CF0"/>
    <w:rsid w:val="6D663F5E"/>
    <w:rsid w:val="6D667370"/>
    <w:rsid w:val="6D7569BE"/>
    <w:rsid w:val="6D7D1F09"/>
    <w:rsid w:val="6D8C677C"/>
    <w:rsid w:val="6D934116"/>
    <w:rsid w:val="6D946765"/>
    <w:rsid w:val="6D9E4D5C"/>
    <w:rsid w:val="6DA4548C"/>
    <w:rsid w:val="6DBD7B70"/>
    <w:rsid w:val="6DC074C9"/>
    <w:rsid w:val="6DC37435"/>
    <w:rsid w:val="6DC662F8"/>
    <w:rsid w:val="6DC811DA"/>
    <w:rsid w:val="6DD35A16"/>
    <w:rsid w:val="6DE04CB2"/>
    <w:rsid w:val="6DE50F16"/>
    <w:rsid w:val="6DEE0030"/>
    <w:rsid w:val="6E176908"/>
    <w:rsid w:val="6E1863BF"/>
    <w:rsid w:val="6E1A5150"/>
    <w:rsid w:val="6E2069FD"/>
    <w:rsid w:val="6E2502DB"/>
    <w:rsid w:val="6E3336F6"/>
    <w:rsid w:val="6E3B1E9D"/>
    <w:rsid w:val="6E444D69"/>
    <w:rsid w:val="6E4C2FA5"/>
    <w:rsid w:val="6E4D1DCF"/>
    <w:rsid w:val="6E5417C3"/>
    <w:rsid w:val="6E5F107C"/>
    <w:rsid w:val="6E664F46"/>
    <w:rsid w:val="6E7234F6"/>
    <w:rsid w:val="6E7423B0"/>
    <w:rsid w:val="6E771591"/>
    <w:rsid w:val="6E7B4327"/>
    <w:rsid w:val="6E850563"/>
    <w:rsid w:val="6E8F1CF0"/>
    <w:rsid w:val="6E9B4BC5"/>
    <w:rsid w:val="6EAE34FC"/>
    <w:rsid w:val="6EB035C1"/>
    <w:rsid w:val="6EB264B8"/>
    <w:rsid w:val="6EB83249"/>
    <w:rsid w:val="6ED14E22"/>
    <w:rsid w:val="6ED77544"/>
    <w:rsid w:val="6ED8429D"/>
    <w:rsid w:val="6EDA7048"/>
    <w:rsid w:val="6EDB386D"/>
    <w:rsid w:val="6EF31D5D"/>
    <w:rsid w:val="6EF573DB"/>
    <w:rsid w:val="6F0E10C2"/>
    <w:rsid w:val="6F144C58"/>
    <w:rsid w:val="6F1D04C0"/>
    <w:rsid w:val="6F2C7BB3"/>
    <w:rsid w:val="6F337E10"/>
    <w:rsid w:val="6F3D768E"/>
    <w:rsid w:val="6F400348"/>
    <w:rsid w:val="6F482092"/>
    <w:rsid w:val="6F526CD1"/>
    <w:rsid w:val="6F565C50"/>
    <w:rsid w:val="6F6273F6"/>
    <w:rsid w:val="6F637187"/>
    <w:rsid w:val="6F6A34F1"/>
    <w:rsid w:val="6F8A21C2"/>
    <w:rsid w:val="6FA71921"/>
    <w:rsid w:val="6FAC795D"/>
    <w:rsid w:val="6FB92A49"/>
    <w:rsid w:val="6FBF4B45"/>
    <w:rsid w:val="6FC823ED"/>
    <w:rsid w:val="6FCB77FC"/>
    <w:rsid w:val="6FCD67D5"/>
    <w:rsid w:val="6FD000BF"/>
    <w:rsid w:val="6FD52A6C"/>
    <w:rsid w:val="6FD74CC9"/>
    <w:rsid w:val="6FDA5711"/>
    <w:rsid w:val="6FEA36B8"/>
    <w:rsid w:val="6FEC4444"/>
    <w:rsid w:val="6FEF156A"/>
    <w:rsid w:val="6FF03B1C"/>
    <w:rsid w:val="70025A76"/>
    <w:rsid w:val="70052EA5"/>
    <w:rsid w:val="70082960"/>
    <w:rsid w:val="70171227"/>
    <w:rsid w:val="701F45ED"/>
    <w:rsid w:val="702322A6"/>
    <w:rsid w:val="70294DB1"/>
    <w:rsid w:val="70332DB4"/>
    <w:rsid w:val="703662FB"/>
    <w:rsid w:val="70377BBD"/>
    <w:rsid w:val="703A0618"/>
    <w:rsid w:val="7048345E"/>
    <w:rsid w:val="70487497"/>
    <w:rsid w:val="70495BC8"/>
    <w:rsid w:val="70505D0D"/>
    <w:rsid w:val="70637EE6"/>
    <w:rsid w:val="70715976"/>
    <w:rsid w:val="70780087"/>
    <w:rsid w:val="7079650B"/>
    <w:rsid w:val="708748A0"/>
    <w:rsid w:val="7095343A"/>
    <w:rsid w:val="709D2D8F"/>
    <w:rsid w:val="70A70256"/>
    <w:rsid w:val="70A73EBA"/>
    <w:rsid w:val="70A82857"/>
    <w:rsid w:val="70B272E5"/>
    <w:rsid w:val="70B77142"/>
    <w:rsid w:val="70BB358D"/>
    <w:rsid w:val="70C1721B"/>
    <w:rsid w:val="70C33A2B"/>
    <w:rsid w:val="70C42747"/>
    <w:rsid w:val="70C70E0C"/>
    <w:rsid w:val="70CC0129"/>
    <w:rsid w:val="70CF79AE"/>
    <w:rsid w:val="70DD00D4"/>
    <w:rsid w:val="70DE203F"/>
    <w:rsid w:val="70E260D3"/>
    <w:rsid w:val="70E66F06"/>
    <w:rsid w:val="70E82DFF"/>
    <w:rsid w:val="70EA0588"/>
    <w:rsid w:val="71021810"/>
    <w:rsid w:val="71071EEE"/>
    <w:rsid w:val="710C41FF"/>
    <w:rsid w:val="710D1B99"/>
    <w:rsid w:val="71103620"/>
    <w:rsid w:val="7119449A"/>
    <w:rsid w:val="711A7AA3"/>
    <w:rsid w:val="711C30CD"/>
    <w:rsid w:val="712608C4"/>
    <w:rsid w:val="71262F3B"/>
    <w:rsid w:val="712D45BA"/>
    <w:rsid w:val="713164F8"/>
    <w:rsid w:val="71346A37"/>
    <w:rsid w:val="71450F7A"/>
    <w:rsid w:val="7164634D"/>
    <w:rsid w:val="71663DE2"/>
    <w:rsid w:val="716C0299"/>
    <w:rsid w:val="718C1DDC"/>
    <w:rsid w:val="718E1333"/>
    <w:rsid w:val="719965BC"/>
    <w:rsid w:val="71A37BFA"/>
    <w:rsid w:val="71A65182"/>
    <w:rsid w:val="71A751ED"/>
    <w:rsid w:val="71AA6A38"/>
    <w:rsid w:val="71B0558E"/>
    <w:rsid w:val="71B57301"/>
    <w:rsid w:val="71B65030"/>
    <w:rsid w:val="71C3130B"/>
    <w:rsid w:val="71C732CF"/>
    <w:rsid w:val="71C770C5"/>
    <w:rsid w:val="71C94F89"/>
    <w:rsid w:val="71D37EAE"/>
    <w:rsid w:val="71D60E2B"/>
    <w:rsid w:val="71D940E6"/>
    <w:rsid w:val="71E31C96"/>
    <w:rsid w:val="71E44267"/>
    <w:rsid w:val="71E6130C"/>
    <w:rsid w:val="71E7437D"/>
    <w:rsid w:val="720904C8"/>
    <w:rsid w:val="720B582D"/>
    <w:rsid w:val="720D425E"/>
    <w:rsid w:val="720E0702"/>
    <w:rsid w:val="72127640"/>
    <w:rsid w:val="721A55C2"/>
    <w:rsid w:val="722100A9"/>
    <w:rsid w:val="722350E7"/>
    <w:rsid w:val="72294718"/>
    <w:rsid w:val="722A51EB"/>
    <w:rsid w:val="722F0D3F"/>
    <w:rsid w:val="723F6A73"/>
    <w:rsid w:val="72414642"/>
    <w:rsid w:val="72430481"/>
    <w:rsid w:val="724951EC"/>
    <w:rsid w:val="72540E47"/>
    <w:rsid w:val="725C07EE"/>
    <w:rsid w:val="726227FC"/>
    <w:rsid w:val="7264219F"/>
    <w:rsid w:val="72676B95"/>
    <w:rsid w:val="72695243"/>
    <w:rsid w:val="72711CE2"/>
    <w:rsid w:val="72721338"/>
    <w:rsid w:val="727C0452"/>
    <w:rsid w:val="72874FB4"/>
    <w:rsid w:val="72967868"/>
    <w:rsid w:val="729D2935"/>
    <w:rsid w:val="729D40F8"/>
    <w:rsid w:val="72AC48EA"/>
    <w:rsid w:val="72AC59BD"/>
    <w:rsid w:val="72AD6791"/>
    <w:rsid w:val="72B27E5F"/>
    <w:rsid w:val="72D941B9"/>
    <w:rsid w:val="72DB435C"/>
    <w:rsid w:val="72DC1C4D"/>
    <w:rsid w:val="72DF082E"/>
    <w:rsid w:val="72F1592E"/>
    <w:rsid w:val="72FD18AC"/>
    <w:rsid w:val="730043A2"/>
    <w:rsid w:val="73062AC5"/>
    <w:rsid w:val="732576C7"/>
    <w:rsid w:val="732778E7"/>
    <w:rsid w:val="732C2C26"/>
    <w:rsid w:val="732F003F"/>
    <w:rsid w:val="73306E16"/>
    <w:rsid w:val="73347CA4"/>
    <w:rsid w:val="73400FB8"/>
    <w:rsid w:val="73543E3D"/>
    <w:rsid w:val="735441C1"/>
    <w:rsid w:val="735A4186"/>
    <w:rsid w:val="736042C2"/>
    <w:rsid w:val="7361673E"/>
    <w:rsid w:val="73751F25"/>
    <w:rsid w:val="737B7CA6"/>
    <w:rsid w:val="737F2F3A"/>
    <w:rsid w:val="737F50B9"/>
    <w:rsid w:val="73841B94"/>
    <w:rsid w:val="7387586B"/>
    <w:rsid w:val="7397740D"/>
    <w:rsid w:val="739E1D31"/>
    <w:rsid w:val="739F636D"/>
    <w:rsid w:val="73A75E74"/>
    <w:rsid w:val="73A91CCD"/>
    <w:rsid w:val="73BB130C"/>
    <w:rsid w:val="73BC6B88"/>
    <w:rsid w:val="73C81F95"/>
    <w:rsid w:val="73CE3162"/>
    <w:rsid w:val="73DC0108"/>
    <w:rsid w:val="73E14020"/>
    <w:rsid w:val="73F46773"/>
    <w:rsid w:val="73F55D45"/>
    <w:rsid w:val="73FA454A"/>
    <w:rsid w:val="73FB1B3A"/>
    <w:rsid w:val="73FE0515"/>
    <w:rsid w:val="74035F75"/>
    <w:rsid w:val="74072F6E"/>
    <w:rsid w:val="740945D1"/>
    <w:rsid w:val="741F3B0C"/>
    <w:rsid w:val="7420769B"/>
    <w:rsid w:val="74240490"/>
    <w:rsid w:val="742D1C61"/>
    <w:rsid w:val="74306C57"/>
    <w:rsid w:val="74357AAE"/>
    <w:rsid w:val="744129BC"/>
    <w:rsid w:val="744B0238"/>
    <w:rsid w:val="744F295B"/>
    <w:rsid w:val="74604A7F"/>
    <w:rsid w:val="74644A73"/>
    <w:rsid w:val="746C03BC"/>
    <w:rsid w:val="746E74F3"/>
    <w:rsid w:val="747B0D9E"/>
    <w:rsid w:val="747C1B15"/>
    <w:rsid w:val="747E1539"/>
    <w:rsid w:val="74806A03"/>
    <w:rsid w:val="748A1698"/>
    <w:rsid w:val="7492329F"/>
    <w:rsid w:val="74936F34"/>
    <w:rsid w:val="749A6530"/>
    <w:rsid w:val="749C2596"/>
    <w:rsid w:val="74A53B01"/>
    <w:rsid w:val="74AC6D50"/>
    <w:rsid w:val="74B11975"/>
    <w:rsid w:val="74B8395B"/>
    <w:rsid w:val="74BF6244"/>
    <w:rsid w:val="74C11FBC"/>
    <w:rsid w:val="74C6795F"/>
    <w:rsid w:val="74D211F2"/>
    <w:rsid w:val="74E97B7E"/>
    <w:rsid w:val="74F45C40"/>
    <w:rsid w:val="74F460EE"/>
    <w:rsid w:val="74F9665C"/>
    <w:rsid w:val="750049B8"/>
    <w:rsid w:val="75037FD2"/>
    <w:rsid w:val="7510485E"/>
    <w:rsid w:val="75115E0E"/>
    <w:rsid w:val="75151B10"/>
    <w:rsid w:val="751C3236"/>
    <w:rsid w:val="751D1973"/>
    <w:rsid w:val="75283C06"/>
    <w:rsid w:val="753165BB"/>
    <w:rsid w:val="75323E94"/>
    <w:rsid w:val="75330FC4"/>
    <w:rsid w:val="753661D8"/>
    <w:rsid w:val="75386564"/>
    <w:rsid w:val="753D5976"/>
    <w:rsid w:val="753E2D79"/>
    <w:rsid w:val="75421B4C"/>
    <w:rsid w:val="75644DEC"/>
    <w:rsid w:val="756725BF"/>
    <w:rsid w:val="756728E1"/>
    <w:rsid w:val="75677B4C"/>
    <w:rsid w:val="756C56BF"/>
    <w:rsid w:val="758F1083"/>
    <w:rsid w:val="75910B50"/>
    <w:rsid w:val="759B7223"/>
    <w:rsid w:val="759C6970"/>
    <w:rsid w:val="75A24C8D"/>
    <w:rsid w:val="75A41EBC"/>
    <w:rsid w:val="75A52869"/>
    <w:rsid w:val="75A93CA8"/>
    <w:rsid w:val="75AB7E33"/>
    <w:rsid w:val="75B30281"/>
    <w:rsid w:val="75B845AF"/>
    <w:rsid w:val="75C50311"/>
    <w:rsid w:val="75D024C7"/>
    <w:rsid w:val="75D72E47"/>
    <w:rsid w:val="75DE0B3A"/>
    <w:rsid w:val="75E06E8B"/>
    <w:rsid w:val="75E54CFD"/>
    <w:rsid w:val="75E672A0"/>
    <w:rsid w:val="75EF2BA4"/>
    <w:rsid w:val="76010F7D"/>
    <w:rsid w:val="76037E52"/>
    <w:rsid w:val="76065888"/>
    <w:rsid w:val="760717AD"/>
    <w:rsid w:val="760740C3"/>
    <w:rsid w:val="760A1A95"/>
    <w:rsid w:val="760E0B37"/>
    <w:rsid w:val="76103A80"/>
    <w:rsid w:val="761D58E7"/>
    <w:rsid w:val="76257CAE"/>
    <w:rsid w:val="762878B8"/>
    <w:rsid w:val="76326FAC"/>
    <w:rsid w:val="763A0FDD"/>
    <w:rsid w:val="763A150F"/>
    <w:rsid w:val="764741B7"/>
    <w:rsid w:val="76491F89"/>
    <w:rsid w:val="764A6CE3"/>
    <w:rsid w:val="765C0043"/>
    <w:rsid w:val="765F1FDD"/>
    <w:rsid w:val="76693D99"/>
    <w:rsid w:val="766E70ED"/>
    <w:rsid w:val="767211FB"/>
    <w:rsid w:val="767335C5"/>
    <w:rsid w:val="767A77AD"/>
    <w:rsid w:val="767E19C0"/>
    <w:rsid w:val="76884DBA"/>
    <w:rsid w:val="7688667B"/>
    <w:rsid w:val="76936ABD"/>
    <w:rsid w:val="76943060"/>
    <w:rsid w:val="769541EF"/>
    <w:rsid w:val="76B14E2F"/>
    <w:rsid w:val="76BB31F7"/>
    <w:rsid w:val="76BC5B8B"/>
    <w:rsid w:val="76C01A4F"/>
    <w:rsid w:val="76C264AD"/>
    <w:rsid w:val="76C7148A"/>
    <w:rsid w:val="76CA7C9E"/>
    <w:rsid w:val="76D63FA0"/>
    <w:rsid w:val="76DB5BF8"/>
    <w:rsid w:val="76E3671C"/>
    <w:rsid w:val="76EA3A96"/>
    <w:rsid w:val="76F36634"/>
    <w:rsid w:val="76F459EE"/>
    <w:rsid w:val="76FC670D"/>
    <w:rsid w:val="77074CA5"/>
    <w:rsid w:val="770D2381"/>
    <w:rsid w:val="770E1132"/>
    <w:rsid w:val="77140801"/>
    <w:rsid w:val="771A594E"/>
    <w:rsid w:val="772E6C30"/>
    <w:rsid w:val="77303A34"/>
    <w:rsid w:val="77332C1C"/>
    <w:rsid w:val="77372BF4"/>
    <w:rsid w:val="77383327"/>
    <w:rsid w:val="773C7ABF"/>
    <w:rsid w:val="77413901"/>
    <w:rsid w:val="774A48BD"/>
    <w:rsid w:val="774F4087"/>
    <w:rsid w:val="7757769E"/>
    <w:rsid w:val="775B2B3B"/>
    <w:rsid w:val="775E2715"/>
    <w:rsid w:val="775F0159"/>
    <w:rsid w:val="775F4BEF"/>
    <w:rsid w:val="77727064"/>
    <w:rsid w:val="7778247E"/>
    <w:rsid w:val="777A101E"/>
    <w:rsid w:val="777A13A0"/>
    <w:rsid w:val="778871FD"/>
    <w:rsid w:val="77895096"/>
    <w:rsid w:val="77935C59"/>
    <w:rsid w:val="77966990"/>
    <w:rsid w:val="7797353A"/>
    <w:rsid w:val="77976AA4"/>
    <w:rsid w:val="77A345D7"/>
    <w:rsid w:val="77AA5BA7"/>
    <w:rsid w:val="77AE53A5"/>
    <w:rsid w:val="77B44683"/>
    <w:rsid w:val="77B7297C"/>
    <w:rsid w:val="77BD6939"/>
    <w:rsid w:val="77C477BE"/>
    <w:rsid w:val="77C67389"/>
    <w:rsid w:val="77CA3962"/>
    <w:rsid w:val="77CB64B1"/>
    <w:rsid w:val="77DF229C"/>
    <w:rsid w:val="77E20811"/>
    <w:rsid w:val="77E41E34"/>
    <w:rsid w:val="77E44C39"/>
    <w:rsid w:val="780D514F"/>
    <w:rsid w:val="781F6A99"/>
    <w:rsid w:val="78241A12"/>
    <w:rsid w:val="782A650A"/>
    <w:rsid w:val="782B120E"/>
    <w:rsid w:val="782D707B"/>
    <w:rsid w:val="783865D9"/>
    <w:rsid w:val="783A4E43"/>
    <w:rsid w:val="783D6C16"/>
    <w:rsid w:val="784103F4"/>
    <w:rsid w:val="784D62E6"/>
    <w:rsid w:val="785060A5"/>
    <w:rsid w:val="785079FD"/>
    <w:rsid w:val="78511736"/>
    <w:rsid w:val="78547A83"/>
    <w:rsid w:val="785C4459"/>
    <w:rsid w:val="785C7102"/>
    <w:rsid w:val="78670B6C"/>
    <w:rsid w:val="7867228E"/>
    <w:rsid w:val="786D337D"/>
    <w:rsid w:val="786D3790"/>
    <w:rsid w:val="787B58FD"/>
    <w:rsid w:val="78815B9B"/>
    <w:rsid w:val="78842FEF"/>
    <w:rsid w:val="789041A0"/>
    <w:rsid w:val="789527ED"/>
    <w:rsid w:val="789A06D6"/>
    <w:rsid w:val="789E4ED2"/>
    <w:rsid w:val="78B07A09"/>
    <w:rsid w:val="78B610AD"/>
    <w:rsid w:val="78C53552"/>
    <w:rsid w:val="78C700C2"/>
    <w:rsid w:val="78CC103E"/>
    <w:rsid w:val="78CE2266"/>
    <w:rsid w:val="78CE6496"/>
    <w:rsid w:val="78DE525B"/>
    <w:rsid w:val="78EC5960"/>
    <w:rsid w:val="78F00BDE"/>
    <w:rsid w:val="78FE4DC0"/>
    <w:rsid w:val="790A14F7"/>
    <w:rsid w:val="790C1C51"/>
    <w:rsid w:val="791866BC"/>
    <w:rsid w:val="79192A7A"/>
    <w:rsid w:val="791A4796"/>
    <w:rsid w:val="791E15B5"/>
    <w:rsid w:val="792220AF"/>
    <w:rsid w:val="79733093"/>
    <w:rsid w:val="797525A0"/>
    <w:rsid w:val="79796FDD"/>
    <w:rsid w:val="797C6C9D"/>
    <w:rsid w:val="797D1DBF"/>
    <w:rsid w:val="79854F76"/>
    <w:rsid w:val="798F6D7E"/>
    <w:rsid w:val="79965D81"/>
    <w:rsid w:val="799D3C73"/>
    <w:rsid w:val="79A8762B"/>
    <w:rsid w:val="79AB1B6D"/>
    <w:rsid w:val="79BC016A"/>
    <w:rsid w:val="79BC1B35"/>
    <w:rsid w:val="79CB2F62"/>
    <w:rsid w:val="79CC6496"/>
    <w:rsid w:val="79CE523C"/>
    <w:rsid w:val="79CF6322"/>
    <w:rsid w:val="79D00859"/>
    <w:rsid w:val="79D33FDF"/>
    <w:rsid w:val="79DC52C6"/>
    <w:rsid w:val="79DE4BA0"/>
    <w:rsid w:val="79E041A8"/>
    <w:rsid w:val="79E51FE8"/>
    <w:rsid w:val="79E622EC"/>
    <w:rsid w:val="79F143BD"/>
    <w:rsid w:val="79F36908"/>
    <w:rsid w:val="79FB2877"/>
    <w:rsid w:val="79FD2F4E"/>
    <w:rsid w:val="7A000588"/>
    <w:rsid w:val="7A04326B"/>
    <w:rsid w:val="7A0700DE"/>
    <w:rsid w:val="7A09540E"/>
    <w:rsid w:val="7A0C063C"/>
    <w:rsid w:val="7A0E6D9C"/>
    <w:rsid w:val="7A0F2605"/>
    <w:rsid w:val="7A1E16FE"/>
    <w:rsid w:val="7A2429BF"/>
    <w:rsid w:val="7A2559A7"/>
    <w:rsid w:val="7A2A0C97"/>
    <w:rsid w:val="7A2F11A5"/>
    <w:rsid w:val="7A490C86"/>
    <w:rsid w:val="7A4D6FCA"/>
    <w:rsid w:val="7A4E36C7"/>
    <w:rsid w:val="7A517E3A"/>
    <w:rsid w:val="7A5A0A8B"/>
    <w:rsid w:val="7A68254A"/>
    <w:rsid w:val="7A683856"/>
    <w:rsid w:val="7A690CF8"/>
    <w:rsid w:val="7A6C06BC"/>
    <w:rsid w:val="7A73697C"/>
    <w:rsid w:val="7A76788E"/>
    <w:rsid w:val="7A794CFA"/>
    <w:rsid w:val="7A797DBF"/>
    <w:rsid w:val="7A7B3EFE"/>
    <w:rsid w:val="7A81782B"/>
    <w:rsid w:val="7A8829A7"/>
    <w:rsid w:val="7A895344"/>
    <w:rsid w:val="7A896773"/>
    <w:rsid w:val="7A9808FD"/>
    <w:rsid w:val="7A9818BF"/>
    <w:rsid w:val="7AA17B8E"/>
    <w:rsid w:val="7AAA7C60"/>
    <w:rsid w:val="7AAB4604"/>
    <w:rsid w:val="7AC104DA"/>
    <w:rsid w:val="7AC75170"/>
    <w:rsid w:val="7AC97C09"/>
    <w:rsid w:val="7ACC3645"/>
    <w:rsid w:val="7ACE6E69"/>
    <w:rsid w:val="7ADA7259"/>
    <w:rsid w:val="7ADE4D6E"/>
    <w:rsid w:val="7AF02332"/>
    <w:rsid w:val="7AF5390B"/>
    <w:rsid w:val="7AF82F36"/>
    <w:rsid w:val="7AFD7E12"/>
    <w:rsid w:val="7B025EE7"/>
    <w:rsid w:val="7B044890"/>
    <w:rsid w:val="7B056294"/>
    <w:rsid w:val="7B073D9D"/>
    <w:rsid w:val="7B0C59FB"/>
    <w:rsid w:val="7B1A550B"/>
    <w:rsid w:val="7B2206F2"/>
    <w:rsid w:val="7B2B177F"/>
    <w:rsid w:val="7B30429B"/>
    <w:rsid w:val="7B373F81"/>
    <w:rsid w:val="7B391D5B"/>
    <w:rsid w:val="7B450391"/>
    <w:rsid w:val="7B486576"/>
    <w:rsid w:val="7B4D3866"/>
    <w:rsid w:val="7B4F6ACA"/>
    <w:rsid w:val="7B534588"/>
    <w:rsid w:val="7B5917EC"/>
    <w:rsid w:val="7B717DB8"/>
    <w:rsid w:val="7B7F0D71"/>
    <w:rsid w:val="7B8133E6"/>
    <w:rsid w:val="7B85596A"/>
    <w:rsid w:val="7B8B1DF4"/>
    <w:rsid w:val="7B8D33B0"/>
    <w:rsid w:val="7B973315"/>
    <w:rsid w:val="7B9A38F9"/>
    <w:rsid w:val="7B9D16C0"/>
    <w:rsid w:val="7B9D2D1F"/>
    <w:rsid w:val="7B9F7981"/>
    <w:rsid w:val="7BA068BF"/>
    <w:rsid w:val="7BA35D79"/>
    <w:rsid w:val="7BA66A4D"/>
    <w:rsid w:val="7BA925A9"/>
    <w:rsid w:val="7BAD204D"/>
    <w:rsid w:val="7BAF7B05"/>
    <w:rsid w:val="7BB03642"/>
    <w:rsid w:val="7BB45629"/>
    <w:rsid w:val="7BB63812"/>
    <w:rsid w:val="7BB76700"/>
    <w:rsid w:val="7BC96390"/>
    <w:rsid w:val="7BCE6234"/>
    <w:rsid w:val="7BCF0AA9"/>
    <w:rsid w:val="7BD007D6"/>
    <w:rsid w:val="7BD86BD1"/>
    <w:rsid w:val="7BD9097F"/>
    <w:rsid w:val="7BDB2265"/>
    <w:rsid w:val="7BE05B80"/>
    <w:rsid w:val="7BE864CD"/>
    <w:rsid w:val="7BEE1267"/>
    <w:rsid w:val="7BF1794C"/>
    <w:rsid w:val="7BFA6495"/>
    <w:rsid w:val="7BFF7296"/>
    <w:rsid w:val="7C077F70"/>
    <w:rsid w:val="7C137978"/>
    <w:rsid w:val="7C1905C3"/>
    <w:rsid w:val="7C1B12E1"/>
    <w:rsid w:val="7C276149"/>
    <w:rsid w:val="7C3127DB"/>
    <w:rsid w:val="7C33150F"/>
    <w:rsid w:val="7C3368B5"/>
    <w:rsid w:val="7C372F40"/>
    <w:rsid w:val="7C523288"/>
    <w:rsid w:val="7C66297B"/>
    <w:rsid w:val="7C7668C8"/>
    <w:rsid w:val="7C7E4F32"/>
    <w:rsid w:val="7C801FCD"/>
    <w:rsid w:val="7C870893"/>
    <w:rsid w:val="7C8D140D"/>
    <w:rsid w:val="7C92447A"/>
    <w:rsid w:val="7C9F22F9"/>
    <w:rsid w:val="7CA42768"/>
    <w:rsid w:val="7CA57601"/>
    <w:rsid w:val="7CAC1A91"/>
    <w:rsid w:val="7CAE707B"/>
    <w:rsid w:val="7CB02A44"/>
    <w:rsid w:val="7CC24073"/>
    <w:rsid w:val="7CCA463C"/>
    <w:rsid w:val="7CD201E7"/>
    <w:rsid w:val="7CD50973"/>
    <w:rsid w:val="7CD75B94"/>
    <w:rsid w:val="7CEC4F50"/>
    <w:rsid w:val="7CEF3F34"/>
    <w:rsid w:val="7CF04D5B"/>
    <w:rsid w:val="7CFF0558"/>
    <w:rsid w:val="7D182DDB"/>
    <w:rsid w:val="7D187E7E"/>
    <w:rsid w:val="7D1F2F4D"/>
    <w:rsid w:val="7D236651"/>
    <w:rsid w:val="7D2D7A0E"/>
    <w:rsid w:val="7D401122"/>
    <w:rsid w:val="7D480782"/>
    <w:rsid w:val="7D4932D6"/>
    <w:rsid w:val="7D4C0C11"/>
    <w:rsid w:val="7D4D0D33"/>
    <w:rsid w:val="7D5112B4"/>
    <w:rsid w:val="7D587D65"/>
    <w:rsid w:val="7D5C01E2"/>
    <w:rsid w:val="7D70400F"/>
    <w:rsid w:val="7D767FE5"/>
    <w:rsid w:val="7D7A4514"/>
    <w:rsid w:val="7D7B4B8C"/>
    <w:rsid w:val="7D820E95"/>
    <w:rsid w:val="7D8540E6"/>
    <w:rsid w:val="7D87227D"/>
    <w:rsid w:val="7D95573D"/>
    <w:rsid w:val="7D982D4E"/>
    <w:rsid w:val="7D997EF5"/>
    <w:rsid w:val="7DA144B0"/>
    <w:rsid w:val="7DB45914"/>
    <w:rsid w:val="7DC12E1D"/>
    <w:rsid w:val="7DD04571"/>
    <w:rsid w:val="7DD4610F"/>
    <w:rsid w:val="7DD82326"/>
    <w:rsid w:val="7DDF18AD"/>
    <w:rsid w:val="7DE15215"/>
    <w:rsid w:val="7DE42D11"/>
    <w:rsid w:val="7DE762AB"/>
    <w:rsid w:val="7E095ECB"/>
    <w:rsid w:val="7E0F1A71"/>
    <w:rsid w:val="7E0F2224"/>
    <w:rsid w:val="7E14786E"/>
    <w:rsid w:val="7E1830EB"/>
    <w:rsid w:val="7E21180F"/>
    <w:rsid w:val="7E267741"/>
    <w:rsid w:val="7E3C220D"/>
    <w:rsid w:val="7E4B0A2C"/>
    <w:rsid w:val="7E4D7EC3"/>
    <w:rsid w:val="7E5125FA"/>
    <w:rsid w:val="7E5305C4"/>
    <w:rsid w:val="7E5F22E5"/>
    <w:rsid w:val="7E6030D1"/>
    <w:rsid w:val="7E713D41"/>
    <w:rsid w:val="7E891546"/>
    <w:rsid w:val="7E8C71E1"/>
    <w:rsid w:val="7E904B04"/>
    <w:rsid w:val="7E930F41"/>
    <w:rsid w:val="7E94780F"/>
    <w:rsid w:val="7E960942"/>
    <w:rsid w:val="7E9638DC"/>
    <w:rsid w:val="7E963E56"/>
    <w:rsid w:val="7E997A4C"/>
    <w:rsid w:val="7E9E276E"/>
    <w:rsid w:val="7EA853D9"/>
    <w:rsid w:val="7EAD6617"/>
    <w:rsid w:val="7EAE5BF5"/>
    <w:rsid w:val="7EBB39C0"/>
    <w:rsid w:val="7EBD16C3"/>
    <w:rsid w:val="7EBE5096"/>
    <w:rsid w:val="7ED014DB"/>
    <w:rsid w:val="7ED41149"/>
    <w:rsid w:val="7ED4682F"/>
    <w:rsid w:val="7EDE33E3"/>
    <w:rsid w:val="7EE02D97"/>
    <w:rsid w:val="7EE527EB"/>
    <w:rsid w:val="7EF81A84"/>
    <w:rsid w:val="7F085D8D"/>
    <w:rsid w:val="7F0A4F33"/>
    <w:rsid w:val="7F0E5333"/>
    <w:rsid w:val="7F191D8B"/>
    <w:rsid w:val="7F196CE3"/>
    <w:rsid w:val="7F2B6D10"/>
    <w:rsid w:val="7F4332D4"/>
    <w:rsid w:val="7F4A245A"/>
    <w:rsid w:val="7F536B3D"/>
    <w:rsid w:val="7F570C8A"/>
    <w:rsid w:val="7F6C4974"/>
    <w:rsid w:val="7F7B6CAB"/>
    <w:rsid w:val="7F916E2B"/>
    <w:rsid w:val="7F93342C"/>
    <w:rsid w:val="7F937F8E"/>
    <w:rsid w:val="7F9A2CB8"/>
    <w:rsid w:val="7F9F4E79"/>
    <w:rsid w:val="7FA501CC"/>
    <w:rsid w:val="7FAA45AE"/>
    <w:rsid w:val="7FB47179"/>
    <w:rsid w:val="7FC67894"/>
    <w:rsid w:val="7FCF3E78"/>
    <w:rsid w:val="7FE06DA6"/>
    <w:rsid w:val="7FE70D37"/>
    <w:rsid w:val="7FE7434A"/>
    <w:rsid w:val="7FED7E58"/>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Theme="minorEastAsia" w:cstheme="minorBidi"/>
      <w:kern w:val="2"/>
      <w:sz w:val="21"/>
      <w:szCs w:val="21"/>
      <w:lang w:val="en-US" w:eastAsia="zh-CN" w:bidi="ar-SA"/>
    </w:rPr>
  </w:style>
  <w:style w:type="paragraph" w:styleId="3">
    <w:name w:val="heading 1"/>
    <w:basedOn w:val="1"/>
    <w:next w:val="1"/>
    <w:qFormat/>
    <w:uiPriority w:val="0"/>
    <w:pPr>
      <w:keepNext/>
      <w:keepLines/>
      <w:spacing w:before="480" w:after="0"/>
      <w:outlineLvl w:val="0"/>
    </w:pPr>
    <w:rPr>
      <w:rFonts w:ascii="Cambria" w:hAnsi="Cambria" w:eastAsia="宋体" w:cs="Times New Roman"/>
      <w:b/>
      <w:bCs/>
      <w:color w:val="365F91"/>
      <w:sz w:val="28"/>
      <w:szCs w:val="28"/>
    </w:rPr>
  </w:style>
  <w:style w:type="paragraph" w:styleId="4">
    <w:name w:val="heading 2"/>
    <w:basedOn w:val="1"/>
    <w:next w:val="1"/>
    <w:unhideWhenUsed/>
    <w:qFormat/>
    <w:uiPriority w:val="0"/>
    <w:pPr>
      <w:keepNext/>
      <w:keepLines/>
      <w:spacing w:before="260" w:after="260" w:line="412" w:lineRule="auto"/>
      <w:outlineLvl w:val="1"/>
    </w:pPr>
    <w:rPr>
      <w:rFonts w:ascii="Arial" w:hAnsi="Arial" w:eastAsia="黑体"/>
      <w:b/>
      <w:bCs/>
      <w:sz w:val="32"/>
      <w:szCs w:val="32"/>
    </w:rPr>
  </w:style>
  <w:style w:type="paragraph" w:styleId="5">
    <w:name w:val="heading 3"/>
    <w:basedOn w:val="1"/>
    <w:next w:val="1"/>
    <w:unhideWhenUsed/>
    <w:qFormat/>
    <w:uiPriority w:val="0"/>
    <w:pPr>
      <w:keepNext/>
      <w:keepLines/>
      <w:adjustRightInd w:val="0"/>
      <w:snapToGrid w:val="0"/>
      <w:spacing w:line="360" w:lineRule="auto"/>
      <w:outlineLvl w:val="2"/>
    </w:pPr>
    <w:rPr>
      <w:rFonts w:eastAsia="黑体"/>
      <w:b/>
      <w:bCs/>
      <w:sz w:val="28"/>
      <w:szCs w:val="32"/>
    </w:rPr>
  </w:style>
  <w:style w:type="character" w:default="1" w:styleId="13">
    <w:name w:val="Default Paragraph Font"/>
    <w:link w:val="14"/>
    <w:semiHidden/>
    <w:qFormat/>
    <w:uiPriority w:val="0"/>
    <w:rPr>
      <w:sz w:val="24"/>
    </w:rPr>
  </w:style>
  <w:style w:type="table" w:default="1" w:styleId="18">
    <w:name w:val="Normal Table"/>
    <w:semiHidden/>
    <w:qFormat/>
    <w:uiPriority w:val="0"/>
    <w:tblPr>
      <w:tblLayout w:type="fixed"/>
      <w:tblCellMar>
        <w:top w:w="0" w:type="dxa"/>
        <w:left w:w="108" w:type="dxa"/>
        <w:bottom w:w="0" w:type="dxa"/>
        <w:right w:w="108" w:type="dxa"/>
      </w:tblCellMar>
    </w:tblPr>
  </w:style>
  <w:style w:type="paragraph" w:styleId="2">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Indent"/>
    <w:basedOn w:val="1"/>
    <w:next w:val="1"/>
    <w:qFormat/>
    <w:uiPriority w:val="0"/>
    <w:pPr>
      <w:ind w:firstLine="200" w:firstLineChars="200"/>
    </w:pPr>
    <w:rPr>
      <w:rFonts w:ascii="宋体" w:hAnsi="宋体" w:cs="宋体"/>
      <w:sz w:val="28"/>
      <w:szCs w:val="28"/>
    </w:rPr>
  </w:style>
  <w:style w:type="paragraph" w:styleId="7">
    <w:name w:val="annotation text"/>
    <w:basedOn w:val="1"/>
    <w:qFormat/>
    <w:uiPriority w:val="0"/>
    <w:pPr>
      <w:jc w:val="left"/>
    </w:pPr>
  </w:style>
  <w:style w:type="paragraph" w:styleId="8">
    <w:name w:val="Body Text"/>
    <w:basedOn w:val="1"/>
    <w:qFormat/>
    <w:uiPriority w:val="0"/>
    <w:pPr>
      <w:autoSpaceDE w:val="0"/>
      <w:autoSpaceDN w:val="0"/>
      <w:adjustRightInd w:val="0"/>
      <w:spacing w:before="37"/>
      <w:ind w:left="117"/>
      <w:jc w:val="left"/>
    </w:pPr>
    <w:rPr>
      <w:rFonts w:ascii="宋体" w:hAnsi="Times New Roman" w:cs="宋体"/>
      <w:kern w:val="0"/>
      <w:szCs w:val="21"/>
    </w:rPr>
  </w:style>
  <w:style w:type="paragraph" w:styleId="9">
    <w:name w:val="Plain Text"/>
    <w:basedOn w:val="1"/>
    <w:qFormat/>
    <w:uiPriority w:val="0"/>
    <w:rPr>
      <w:rFonts w:ascii="宋体" w:hAnsi="Courier New"/>
      <w:sz w:val="21"/>
    </w:rPr>
  </w:style>
  <w:style w:type="paragraph" w:styleId="10">
    <w:name w:val="footer"/>
    <w:basedOn w:val="1"/>
    <w:qFormat/>
    <w:uiPriority w:val="0"/>
    <w:pPr>
      <w:tabs>
        <w:tab w:val="center" w:pos="4153"/>
        <w:tab w:val="right" w:pos="8306"/>
      </w:tabs>
      <w:snapToGrid w:val="0"/>
      <w:jc w:val="left"/>
    </w:pPr>
    <w:rPr>
      <w:sz w:val="18"/>
    </w:rPr>
  </w:style>
  <w:style w:type="paragraph" w:styleId="11">
    <w:name w:val="toc 2"/>
    <w:basedOn w:val="1"/>
    <w:next w:val="1"/>
    <w:unhideWhenUsed/>
    <w:qFormat/>
    <w:uiPriority w:val="39"/>
    <w:pPr>
      <w:kinsoku w:val="0"/>
      <w:overflowPunct w:val="0"/>
      <w:autoSpaceDE w:val="0"/>
      <w:autoSpaceDN w:val="0"/>
      <w:spacing w:line="20" w:lineRule="exact"/>
      <w:ind w:firstLine="640" w:firstLineChars="200"/>
    </w:pPr>
    <w:rPr>
      <w:rFonts w:ascii="楷体_GB2312" w:hAnsi="黑体" w:eastAsia="楷体_GB2312" w:cs="楷体_GB2312"/>
      <w:kern w:val="0"/>
      <w:sz w:val="32"/>
      <w:szCs w:val="32"/>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4">
    <w:name w:val="Char1"/>
    <w:basedOn w:val="1"/>
    <w:link w:val="13"/>
    <w:qFormat/>
    <w:uiPriority w:val="0"/>
    <w:pPr>
      <w:widowControl/>
      <w:spacing w:after="160" w:line="240" w:lineRule="exact"/>
      <w:jc w:val="left"/>
    </w:pPr>
    <w:rPr>
      <w:sz w:val="24"/>
    </w:rPr>
  </w:style>
  <w:style w:type="character" w:styleId="15">
    <w:name w:val="Strong"/>
    <w:basedOn w:val="13"/>
    <w:qFormat/>
    <w:uiPriority w:val="0"/>
    <w:rPr>
      <w:b/>
    </w:rPr>
  </w:style>
  <w:style w:type="character" w:styleId="16">
    <w:name w:val="page number"/>
    <w:basedOn w:val="13"/>
    <w:qFormat/>
    <w:uiPriority w:val="0"/>
  </w:style>
  <w:style w:type="character" w:styleId="17">
    <w:name w:val="Hyperlink"/>
    <w:basedOn w:val="13"/>
    <w:qFormat/>
    <w:uiPriority w:val="0"/>
    <w:rPr>
      <w:color w:val="0000FF"/>
      <w:u w:val="single"/>
    </w:rPr>
  </w:style>
  <w:style w:type="paragraph" w:customStyle="1" w:styleId="19">
    <w:name w:val="Heading2"/>
    <w:basedOn w:val="1"/>
    <w:next w:val="1"/>
    <w:qFormat/>
    <w:locked/>
    <w:uiPriority w:val="99"/>
    <w:pPr>
      <w:spacing w:before="100" w:beforeAutospacing="1" w:after="100" w:afterAutospacing="1"/>
      <w:jc w:val="left"/>
      <w:textAlignment w:val="baseline"/>
    </w:pPr>
    <w:rPr>
      <w:rFonts w:ascii="宋体" w:hAnsi="宋体" w:cs="宋体"/>
      <w:b/>
      <w:bCs/>
      <w:kern w:val="0"/>
      <w:sz w:val="36"/>
      <w:szCs w:val="36"/>
    </w:rPr>
  </w:style>
  <w:style w:type="paragraph" w:customStyle="1" w:styleId="20">
    <w:name w:val="+正文"/>
    <w:qFormat/>
    <w:uiPriority w:val="0"/>
    <w:pPr>
      <w:widowControl w:val="0"/>
      <w:spacing w:line="500" w:lineRule="exact"/>
      <w:ind w:firstLine="200" w:firstLineChars="200"/>
      <w:jc w:val="both"/>
    </w:pPr>
    <w:rPr>
      <w:rFonts w:ascii="Times New Roman" w:hAnsi="Times New Roman" w:eastAsia="宋体" w:cs="Times New Roman"/>
      <w:kern w:val="2"/>
      <w:sz w:val="24"/>
      <w:szCs w:val="28"/>
      <w:lang w:val="en-US" w:eastAsia="zh-CN" w:bidi="ar-SA"/>
    </w:rPr>
  </w:style>
  <w:style w:type="paragraph" w:customStyle="1" w:styleId="21">
    <w:name w:val="正文文本1"/>
    <w:basedOn w:val="1"/>
    <w:qFormat/>
    <w:uiPriority w:val="0"/>
    <w:pPr>
      <w:widowControl w:val="0"/>
      <w:shd w:val="clear" w:color="auto" w:fill="FFFFFF"/>
      <w:spacing w:line="415" w:lineRule="auto"/>
      <w:ind w:firstLine="400"/>
    </w:pPr>
    <w:rPr>
      <w:rFonts w:ascii="MingLiU" w:hAnsi="MingLiU" w:eastAsia="MingLiU" w:cs="MingLiU"/>
      <w:sz w:val="26"/>
      <w:szCs w:val="26"/>
      <w:u w:val="none"/>
      <w:lang w:val="zh-CN" w:eastAsia="zh-CN" w:bidi="zh-CN"/>
    </w:rPr>
  </w:style>
  <w:style w:type="character" w:customStyle="1" w:styleId="22">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临沧市临翔区党政机关单位</Company>
  <Pages>29</Pages>
  <Words>15226</Words>
  <Characters>15991</Characters>
  <Lines>0</Lines>
  <Paragraphs>0</Paragraphs>
  <ScaleCrop>false</ScaleCrop>
  <LinksUpToDate>false</LinksUpToDate>
  <CharactersWithSpaces>16056</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2020-12-01T01:27:00Z</dcterms:created>
  <dc:creator>nobody</dc:creator>
  <cp:lastModifiedBy>白祎</cp:lastModifiedBy>
  <cp:lastPrinted>2022-01-22T02:04:00Z</cp:lastPrinted>
  <dcterms:modified xsi:type="dcterms:W3CDTF">2024-12-19T01:56:57Z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KSOSaveFontToCloudKey">
    <vt:lpwstr>224748228_btnclosed</vt:lpwstr>
  </property>
  <property fmtid="{D5CDD505-2E9C-101B-9397-08002B2CF9AE}" pid="4" name="ICV">
    <vt:lpwstr>01DE8429F271464897671619377EF394</vt:lpwstr>
  </property>
</Properties>
</file>