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  <w:t>临翔区生活垃圾资源化处理项目解除特许经营协议并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  <w:t>取消特许经营权听证会须知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参加听证会的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（一）拟参加听证会的听证代表，请持《临翔区重大决策听证会报名表》或《临翔区重大决策听证会听证人员确认表》及相关证明材料进行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）符合条件的法人、其他组织、公民申请旁听听证会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的，请持《临翔区重大决策听证会报名表》及相关证明材料进行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（三）临沧市临翔区住房和城乡建设局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将根据申请情况确定听证会代表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及旁听代表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在举行听证会的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个工作日前，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临沧市临翔区住房和城乡建设局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将听证会材料送达被确定的听证会代表。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报名方式及报名截止时间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（一）报名方式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1.现场报名：临沧市临翔区住房和城乡建设局（临沧市临翔区南天路1379号）总工办。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2.网上报名：报名截止时间前将报名材料发送至邮箱：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lxqjshj@126.com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（二）报名截止时间：2024年4月12日17时00分。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）申请参加听证会的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人员报名时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须提交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.利害关系人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代表提交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《临翔区重大决策听证会报名表》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和《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统一信用代码证书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或营业执照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居民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身份证》复印件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2.社会普通公众代表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提交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《临翔区重大决策听证会报名表》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和《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居民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身份证》（或《军官证》、《律师证》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、《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职称证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等）复印件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3.听证代表其他人员提交《临翔区重大决策听证会听证人员确认表》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和《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统一信用代码证书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或营业执照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居民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身份证》复印件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4.旁听人提交《临翔区重大决策听证会报名表》和《居民身份证》（或《军官证》、《律师证》、职称证等）复印件。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需委托代理的，代理人应当出具委托人的身份证明及《授权委托书》，同时出具本人身份证明原件与复印件。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）申请参加听证会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资格确定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临沧市临翔区住房和城乡建设局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受理确定后获得代表资格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包括听证代表和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旁听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，给予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发放《听证通知书》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或《旁听通知书》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和相关资料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凭《听证通知书》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或《旁听通知书》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入场。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）参加听证会的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包括听证代表和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旁听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）应当亲自参加听证，按指定的时间、地点出席听证会，遵守宪法、法律、法规和会场纪律，服从主持人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安排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，本着实事求是的原则，围绕该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听证事项的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必要性、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合法性、合理性、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可行性等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提出意见和建议。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听证代表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应提前了解、熟悉本次听证会的相关资料，入场时提交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份书面形式的意见和建议发言稿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听证时应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事先做好发言准备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发言时应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主旨鲜明、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简明扼要，发言不超过3分钟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参加旁听人员，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 xml:space="preserve">后可以书面材料形式提出意见和建议。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）听证会提供的材料仅供听证代表发表意见时参考，会后收回。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）听证代表和旁听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无正当理由不出席听证会的，视同放弃听证权利；因违反听证纪律、情节严重，被听证主持人责令退场的，视同放弃听证权利。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临沧市临翔区住房和城乡建设局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sectPr>
      <w:footerReference r:id="rId5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zA3ODY3Yjk3MzY4OGJiMjI5YWRkNjYzZjQ0OGQifQ=="/>
  </w:docVars>
  <w:rsids>
    <w:rsidRoot w:val="079E7576"/>
    <w:rsid w:val="00194A4F"/>
    <w:rsid w:val="001B3ECD"/>
    <w:rsid w:val="003326AB"/>
    <w:rsid w:val="003524A8"/>
    <w:rsid w:val="00357E4E"/>
    <w:rsid w:val="003638D4"/>
    <w:rsid w:val="005C4E4D"/>
    <w:rsid w:val="006904DE"/>
    <w:rsid w:val="006976A2"/>
    <w:rsid w:val="00701B2A"/>
    <w:rsid w:val="007528C5"/>
    <w:rsid w:val="00805EC1"/>
    <w:rsid w:val="00857AB3"/>
    <w:rsid w:val="00935905"/>
    <w:rsid w:val="009D0466"/>
    <w:rsid w:val="009E29E5"/>
    <w:rsid w:val="00AA375E"/>
    <w:rsid w:val="00AE77B3"/>
    <w:rsid w:val="00B76A4C"/>
    <w:rsid w:val="00D7029F"/>
    <w:rsid w:val="00D7590F"/>
    <w:rsid w:val="00E1741C"/>
    <w:rsid w:val="00E17D3E"/>
    <w:rsid w:val="00EC061F"/>
    <w:rsid w:val="00F17F1C"/>
    <w:rsid w:val="00FB55A6"/>
    <w:rsid w:val="01560C54"/>
    <w:rsid w:val="01EC3B0D"/>
    <w:rsid w:val="024F5BDB"/>
    <w:rsid w:val="04D85410"/>
    <w:rsid w:val="079E7576"/>
    <w:rsid w:val="0CA717E0"/>
    <w:rsid w:val="0ED5373C"/>
    <w:rsid w:val="10A006AA"/>
    <w:rsid w:val="129C5E37"/>
    <w:rsid w:val="141C395B"/>
    <w:rsid w:val="1D7D2F5B"/>
    <w:rsid w:val="22323F2D"/>
    <w:rsid w:val="236B22CF"/>
    <w:rsid w:val="262B29FD"/>
    <w:rsid w:val="2E3C6B1B"/>
    <w:rsid w:val="2F183841"/>
    <w:rsid w:val="320435ED"/>
    <w:rsid w:val="32CB438A"/>
    <w:rsid w:val="3BBF5D26"/>
    <w:rsid w:val="419A5AEF"/>
    <w:rsid w:val="427A1ACA"/>
    <w:rsid w:val="427C428C"/>
    <w:rsid w:val="43CD0281"/>
    <w:rsid w:val="46004357"/>
    <w:rsid w:val="476F764D"/>
    <w:rsid w:val="48EC6519"/>
    <w:rsid w:val="4AEA4B25"/>
    <w:rsid w:val="4C7D1941"/>
    <w:rsid w:val="50816529"/>
    <w:rsid w:val="51C02AEE"/>
    <w:rsid w:val="56E91334"/>
    <w:rsid w:val="57250AFD"/>
    <w:rsid w:val="5B6F0AAD"/>
    <w:rsid w:val="5D8A030A"/>
    <w:rsid w:val="603676AA"/>
    <w:rsid w:val="604D475C"/>
    <w:rsid w:val="605735BC"/>
    <w:rsid w:val="69166D93"/>
    <w:rsid w:val="6AD004DD"/>
    <w:rsid w:val="6B5D06B7"/>
    <w:rsid w:val="6BD20085"/>
    <w:rsid w:val="6BF73544"/>
    <w:rsid w:val="6D615F49"/>
    <w:rsid w:val="6E30058B"/>
    <w:rsid w:val="6F6817EF"/>
    <w:rsid w:val="73D747B2"/>
    <w:rsid w:val="77CB499F"/>
    <w:rsid w:val="77DC6046"/>
    <w:rsid w:val="79E86FB7"/>
    <w:rsid w:val="7CA22F85"/>
    <w:rsid w:val="7CCC5372"/>
    <w:rsid w:val="7D88702D"/>
    <w:rsid w:val="7DBF150F"/>
    <w:rsid w:val="7E1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480" w:lineRule="atLeast"/>
      <w:ind w:firstLine="480"/>
      <w:jc w:val="both"/>
    </w:pPr>
    <w:rPr>
      <w:rFonts w:ascii="Times New Roman" w:hAnsi="Times New Roman" w:eastAsia="宋体" w:cs="宋体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360" w:lineRule="auto"/>
      <w:ind w:firstLine="0"/>
      <w:jc w:val="center"/>
      <w:outlineLvl w:val="0"/>
    </w:pPr>
    <w:rPr>
      <w:rFonts w:eastAsia="方正小标宋_GBK"/>
      <w:b/>
      <w:kern w:val="44"/>
      <w:sz w:val="36"/>
    </w:rPr>
  </w:style>
  <w:style w:type="paragraph" w:styleId="3">
    <w:name w:val="heading 3"/>
    <w:basedOn w:val="1"/>
    <w:next w:val="1"/>
    <w:link w:val="15"/>
    <w:unhideWhenUsed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eastAsia="黑体" w:cs="Times New Roman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7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附表"/>
    <w:basedOn w:val="1"/>
    <w:qFormat/>
    <w:uiPriority w:val="0"/>
    <w:rPr>
      <w:sz w:val="24"/>
    </w:rPr>
  </w:style>
  <w:style w:type="paragraph" w:customStyle="1" w:styleId="13">
    <w:name w:val="专题-表标"/>
    <w:basedOn w:val="1"/>
    <w:link w:val="14"/>
    <w:qFormat/>
    <w:uiPriority w:val="0"/>
    <w:rPr>
      <w:rFonts w:eastAsia="仿宋_GB2312" w:cs="Times New Roman"/>
      <w:b/>
      <w:sz w:val="28"/>
      <w:szCs w:val="28"/>
    </w:rPr>
  </w:style>
  <w:style w:type="character" w:customStyle="1" w:styleId="14">
    <w:name w:val="专题-表标题 Char"/>
    <w:link w:val="13"/>
    <w:qFormat/>
    <w:uiPriority w:val="0"/>
    <w:rPr>
      <w:rFonts w:ascii="Times New Roman" w:hAnsi="Times New Roman" w:eastAsia="仿宋_GB2312" w:cs="Times New Roman"/>
      <w:b/>
      <w:sz w:val="28"/>
      <w:szCs w:val="28"/>
    </w:rPr>
  </w:style>
  <w:style w:type="character" w:customStyle="1" w:styleId="15">
    <w:name w:val="标题 3 Char"/>
    <w:link w:val="3"/>
    <w:qFormat/>
    <w:uiPriority w:val="0"/>
    <w:rPr>
      <w:rFonts w:ascii="Times New Roman" w:hAnsi="Times New Roman" w:eastAsia="黑体"/>
      <w:b/>
      <w:bCs/>
      <w:sz w:val="30"/>
      <w:szCs w:val="32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方正小标宋_GBK"/>
      <w:b/>
      <w:kern w:val="44"/>
      <w:sz w:val="36"/>
    </w:rPr>
  </w:style>
  <w:style w:type="character" w:customStyle="1" w:styleId="17">
    <w:name w:val="页眉 Char"/>
    <w:basedOn w:val="9"/>
    <w:link w:val="5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Char"/>
    <w:basedOn w:val="9"/>
    <w:link w:val="7"/>
    <w:qFormat/>
    <w:uiPriority w:val="0"/>
    <w:rPr>
      <w:rFonts w:eastAsiaTheme="majorEastAsia" w:cstheme="majorBidi"/>
      <w:b/>
      <w:bCs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1226</Words>
  <Characters>1246</Characters>
  <Lines>8</Lines>
  <Paragraphs>2</Paragraphs>
  <TotalTime>7</TotalTime>
  <ScaleCrop>false</ScaleCrop>
  <LinksUpToDate>false</LinksUpToDate>
  <CharactersWithSpaces>1247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2023-07-02T03:10:00Z</dcterms:created>
  <dc:creator>LLJ</dc:creator>
  <cp:lastModifiedBy>杉杉爸</cp:lastModifiedBy>
  <cp:lastPrinted>2024-01-08T03:35:00Z</cp:lastPrinted>
  <dcterms:modified xsi:type="dcterms:W3CDTF">2024-03-15T03:40:17Z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5DE078982B9644438F38675DCFEA106D_13</vt:lpwstr>
  </property>
</Properties>
</file>