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方正小标宋_GBK" w:eastAsia="方正小标宋_GBK" w:cs="方正小标宋_GBK"/>
          <w:sz w:val="40"/>
          <w:szCs w:val="40"/>
        </w:rPr>
      </w:pPr>
      <w:bookmarkStart w:id="0" w:name="_GoBack"/>
      <w:bookmarkEnd w:id="0"/>
      <w:r>
        <w:rPr>
          <w:rFonts w:hint="eastAsia" w:ascii="方正小标宋_GBK" w:hAnsi="方正小标宋_GBK" w:eastAsia="方正小标宋_GBK" w:cs="方正小标宋_GBK"/>
          <w:sz w:val="40"/>
          <w:szCs w:val="40"/>
        </w:rPr>
        <w:t>进入草原防火管制区新办审批（市级权限）</w:t>
      </w:r>
    </w:p>
    <w:p>
      <w:pPr>
        <w:jc w:val="center"/>
        <w:rPr>
          <w:rFonts w:ascii="方正小标宋_GBK" w:hAnsi="方正小标宋_GBK" w:eastAsia="方正小标宋_GBK" w:cs="方正小标宋_GBK"/>
          <w:sz w:val="40"/>
          <w:szCs w:val="40"/>
        </w:rPr>
      </w:pPr>
      <w:r>
        <w:rPr>
          <w:rFonts w:hint="eastAsia" w:ascii="方正小标宋_GBK" w:hAnsi="方正小标宋_GBK" w:eastAsia="方正小标宋_GBK" w:cs="方正小标宋_GBK"/>
          <w:sz w:val="40"/>
          <w:szCs w:val="40"/>
        </w:rPr>
        <w:t>【00016422700401】</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基本要素</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行政许可事项名称</w:t>
      </w:r>
      <w:r>
        <w:rPr>
          <w:rFonts w:hint="eastAsia" w:ascii="Times New Roman" w:hAnsi="Times New Roman" w:eastAsia="仿宋GB2312"/>
          <w:b/>
          <w:bCs/>
          <w:sz w:val="28"/>
          <w:szCs w:val="28"/>
        </w:rPr>
        <w:t>及编码</w:t>
      </w:r>
    </w:p>
    <w:p>
      <w:pPr>
        <w:spacing w:line="360" w:lineRule="auto"/>
        <w:ind w:firstLine="560" w:firstLineChars="200"/>
        <w:rPr>
          <w:rFonts w:ascii="仿宋" w:hAnsi="仿宋" w:eastAsia="仿宋" w:cs="仿宋"/>
          <w:sz w:val="28"/>
          <w:szCs w:val="28"/>
        </w:rPr>
      </w:pPr>
      <w:r>
        <w:rPr>
          <w:rFonts w:hint="eastAsia" w:ascii="方正仿宋_GBK" w:hAnsi="方正仿宋_GBK" w:eastAsia="方正仿宋_GBK" w:cs="方正仿宋_GBK"/>
          <w:sz w:val="28"/>
          <w:szCs w:val="28"/>
        </w:rPr>
        <w:t>进入森林高火险区、草原防火管制区审批【00016422700Y】</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行政许可</w:t>
      </w:r>
      <w:r>
        <w:rPr>
          <w:rFonts w:hint="eastAsia" w:ascii="Times New Roman" w:hAnsi="Times New Roman" w:eastAsia="仿宋GB2312"/>
          <w:b/>
          <w:bCs/>
          <w:sz w:val="28"/>
          <w:szCs w:val="28"/>
        </w:rPr>
        <w:t>事项子项名称及编码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进入草原防火管制区审批（</w:t>
      </w:r>
      <w:r>
        <w:rPr>
          <w:rFonts w:hint="eastAsia" w:ascii="方正仿宋_GBK" w:hAnsi="方正仿宋_GBK" w:eastAsia="方正仿宋_GBK" w:cs="方正仿宋_GBK"/>
          <w:sz w:val="28"/>
          <w:szCs w:val="28"/>
          <w:lang w:eastAsia="zh-CN"/>
        </w:rPr>
        <w:t>市级</w:t>
      </w:r>
      <w:r>
        <w:rPr>
          <w:rFonts w:hint="eastAsia" w:ascii="方正仿宋_GBK" w:hAnsi="方正仿宋_GBK" w:eastAsia="方正仿宋_GBK" w:cs="方正仿宋_GBK"/>
          <w:sz w:val="28"/>
          <w:szCs w:val="28"/>
        </w:rPr>
        <w:t>权限）【000164227004】</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3.行政许可事项业务办理项名称及编码</w:t>
      </w:r>
    </w:p>
    <w:p>
      <w:pPr>
        <w:spacing w:line="360" w:lineRule="auto"/>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进入草原防火管制区新办审批（</w:t>
      </w:r>
      <w:r>
        <w:rPr>
          <w:rFonts w:hint="eastAsia" w:ascii="方正仿宋_GBK" w:hAnsi="方正仿宋_GBK" w:eastAsia="方正仿宋_GBK" w:cs="方正仿宋_GBK"/>
          <w:sz w:val="28"/>
          <w:szCs w:val="28"/>
          <w:lang w:eastAsia="zh-CN"/>
        </w:rPr>
        <w:t>市级</w:t>
      </w:r>
      <w:r>
        <w:rPr>
          <w:rFonts w:hint="eastAsia" w:ascii="方正仿宋_GBK" w:hAnsi="方正仿宋_GBK" w:eastAsia="方正仿宋_GBK" w:cs="方正仿宋_GBK"/>
          <w:sz w:val="28"/>
          <w:szCs w:val="28"/>
        </w:rPr>
        <w:t>权限）</w:t>
      </w:r>
      <w:r>
        <w:rPr>
          <w:rFonts w:ascii="方正仿宋_GBK" w:hAnsi="方正仿宋_GBK" w:eastAsia="方正仿宋_GBK" w:cs="方正仿宋_GBK"/>
          <w:sz w:val="28"/>
          <w:szCs w:val="28"/>
        </w:rPr>
        <w:t>【</w:t>
      </w:r>
      <w:r>
        <w:rPr>
          <w:rFonts w:hint="eastAsia" w:ascii="方正仿宋_GBK" w:hAnsi="方正仿宋_GBK" w:eastAsia="方正仿宋_GBK" w:cs="方正仿宋_GBK"/>
          <w:sz w:val="28"/>
          <w:szCs w:val="28"/>
        </w:rPr>
        <w:t>00016422700401</w:t>
      </w:r>
      <w:r>
        <w:rPr>
          <w:rFonts w:ascii="方正仿宋_GBK" w:hAnsi="方正仿宋_GBK" w:eastAsia="方正仿宋_GBK" w:cs="方正仿宋_GBK"/>
          <w:sz w:val="28"/>
          <w:szCs w:val="28"/>
        </w:rPr>
        <w:t>】</w:t>
      </w:r>
    </w:p>
    <w:p>
      <w:pPr>
        <w:spacing w:line="360" w:lineRule="auto"/>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4.设定依据</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《草原防火条例》第二十二条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5.实施依据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《草原防火条例》第二十二条</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6.监管依据</w:t>
      </w:r>
    </w:p>
    <w:p>
      <w:pPr>
        <w:spacing w:line="540" w:lineRule="exact"/>
        <w:ind w:firstLine="560" w:firstLineChars="200"/>
        <w:outlineLvl w:val="2"/>
        <w:rPr>
          <w:rFonts w:ascii="方正仿宋_GBK" w:hAnsi="方正仿宋_GBK" w:eastAsia="方正仿宋_GBK" w:cs="方正仿宋_GBK"/>
          <w:sz w:val="28"/>
          <w:szCs w:val="28"/>
        </w:rPr>
      </w:pPr>
      <w:r>
        <w:rPr>
          <w:rFonts w:ascii="方正仿宋_GBK" w:hAnsi="方正仿宋_GBK" w:eastAsia="方正仿宋_GBK" w:cs="方正仿宋_GBK"/>
          <w:sz w:val="28"/>
          <w:szCs w:val="28"/>
        </w:rPr>
        <w:t>《草原防火条例》第四十四条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实施机关</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市级林草部门</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审批层级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市级</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9.行使</w:t>
      </w:r>
      <w:r>
        <w:rPr>
          <w:rFonts w:ascii="Times New Roman" w:hAnsi="Times New Roman" w:eastAsia="仿宋GB2312"/>
          <w:b/>
          <w:bCs/>
          <w:sz w:val="28"/>
          <w:szCs w:val="28"/>
        </w:rPr>
        <w:t>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市级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是否由审批机关受理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是</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11.</w:t>
      </w:r>
      <w:r>
        <w:rPr>
          <w:rFonts w:ascii="Times New Roman" w:hAnsi="Times New Roman" w:eastAsia="仿宋GB2312"/>
          <w:b/>
          <w:bCs/>
          <w:sz w:val="28"/>
          <w:szCs w:val="28"/>
        </w:rPr>
        <w:t>受理层级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市级</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12.</w:t>
      </w:r>
      <w:r>
        <w:rPr>
          <w:rFonts w:ascii="Times New Roman" w:hAnsi="Times New Roman" w:eastAsia="仿宋GB2312"/>
          <w:b/>
          <w:bCs/>
          <w:sz w:val="28"/>
          <w:szCs w:val="28"/>
        </w:rPr>
        <w:t>是否存在初审环节</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highlight w:val="yellow"/>
        </w:rPr>
      </w:pPr>
      <w:r>
        <w:rPr>
          <w:rFonts w:hint="eastAsia" w:ascii="Times New Roman" w:hAnsi="Times New Roman" w:eastAsia="仿宋GB2312"/>
          <w:b/>
          <w:bCs/>
          <w:sz w:val="28"/>
          <w:szCs w:val="28"/>
        </w:rPr>
        <w:t>13.</w:t>
      </w:r>
      <w:r>
        <w:rPr>
          <w:rFonts w:ascii="Times New Roman" w:hAnsi="Times New Roman" w:eastAsia="仿宋GB2312"/>
          <w:b/>
          <w:bCs/>
          <w:sz w:val="28"/>
          <w:szCs w:val="28"/>
        </w:rPr>
        <w:t>初审层级</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jc w:val="left"/>
        <w:rPr>
          <w:rFonts w:ascii="方正仿宋_GBK" w:hAnsi="方正仿宋_GBK" w:eastAsia="方正仿宋_GBK" w:cs="方正仿宋_GBK"/>
          <w:sz w:val="28"/>
          <w:szCs w:val="28"/>
        </w:rPr>
      </w:pPr>
      <w:r>
        <w:rPr>
          <w:rFonts w:hint="eastAsia" w:ascii="Times New Roman" w:hAnsi="Times New Roman" w:eastAsia="仿宋GB2312"/>
          <w:b/>
          <w:bCs/>
          <w:sz w:val="28"/>
          <w:szCs w:val="28"/>
        </w:rPr>
        <w:t>14.</w:t>
      </w:r>
      <w:r>
        <w:rPr>
          <w:rFonts w:ascii="Times New Roman" w:hAnsi="Times New Roman" w:eastAsia="仿宋GB2312"/>
          <w:b/>
          <w:bCs/>
          <w:sz w:val="28"/>
          <w:szCs w:val="28"/>
        </w:rPr>
        <w:t>对应政务服务事项国家级基本目录名称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进入草原防火管制区车辆的草原防火通行证审批</w:t>
      </w:r>
    </w:p>
    <w:p>
      <w:pPr>
        <w:spacing w:line="600" w:lineRule="exact"/>
        <w:ind w:firstLine="562" w:firstLineChars="200"/>
        <w:jc w:val="left"/>
        <w:rPr>
          <w:rFonts w:hint="default" w:ascii="方正仿宋_GBK" w:hAnsi="方正仿宋_GBK" w:eastAsia="方正仿宋_GBK" w:cs="方正仿宋_GBK"/>
          <w:sz w:val="28"/>
          <w:szCs w:val="28"/>
          <w:lang w:val="en-US" w:eastAsia="zh-CN"/>
        </w:rPr>
      </w:pPr>
      <w:r>
        <w:rPr>
          <w:rFonts w:hint="eastAsia" w:ascii="Times New Roman" w:hAnsi="Times New Roman" w:eastAsia="仿宋GB2312" w:cs="Times New Roman"/>
          <w:b/>
          <w:bCs/>
          <w:sz w:val="28"/>
          <w:szCs w:val="28"/>
          <w:lang w:val="en-US" w:eastAsia="zh-CN"/>
        </w:rPr>
        <w:t>15.要素统一情况：</w:t>
      </w:r>
      <w:r>
        <w:rPr>
          <w:rFonts w:hint="eastAsia" w:ascii="方正仿宋_GBK" w:hAnsi="方正仿宋_GBK" w:eastAsia="方正仿宋_GBK" w:cs="方正仿宋_GBK"/>
          <w:sz w:val="28"/>
          <w:szCs w:val="28"/>
          <w:lang w:val="en-US" w:eastAsia="zh-CN"/>
        </w:rPr>
        <w:t>全省要素统一</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行政许可事项类型</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条件型</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行政许可条件</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1.准予行政许可的条件</w:t>
      </w:r>
      <w:r>
        <w:rPr>
          <w:rFonts w:ascii="Times New Roman" w:hAnsi="Times New Roman" w:eastAsia="仿宋GB2312"/>
          <w:b/>
          <w:bCs/>
          <w:sz w:val="28"/>
          <w:szCs w:val="28"/>
        </w:rPr>
        <w:t>：</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（1）无下列行为：吸烟、烧纸、烧香；烧蜂、狩猎；烤火、野炊、使用火把照明；燃放烟花爆竹和孔明灯；焚烧垃圾；其他非生产性用火行为；</w:t>
      </w:r>
    </w:p>
    <w:p>
      <w:pPr>
        <w:numPr>
          <w:ilvl w:val="0"/>
          <w:numId w:val="2"/>
        </w:num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依法执行“禁止携带火种和易燃易爆物品进入草原防火管制区”等草原防火有关规定；</w:t>
      </w:r>
    </w:p>
    <w:p>
      <w:pPr>
        <w:keepNext w:val="0"/>
        <w:keepLines w:val="0"/>
        <w:pageBreakBefore w:val="0"/>
        <w:widowControl/>
        <w:numPr>
          <w:ilvl w:val="0"/>
          <w:numId w:val="2"/>
        </w:numPr>
        <w:kinsoku/>
        <w:wordWrap/>
        <w:overflowPunct/>
        <w:topLinePunct w:val="0"/>
        <w:autoSpaceDE/>
        <w:autoSpaceDN/>
        <w:bidi w:val="0"/>
        <w:adjustRightInd/>
        <w:snapToGrid/>
        <w:spacing w:line="600" w:lineRule="exact"/>
        <w:ind w:firstLine="560" w:firstLineChars="200"/>
        <w:textAlignment w:val="auto"/>
        <w:rPr>
          <w:rFonts w:hint="default"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草原管制区内禁止一切野外用火；。</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规定行政许可条件的依据：</w:t>
      </w:r>
    </w:p>
    <w:p>
      <w:pPr>
        <w:spacing w:line="540" w:lineRule="exact"/>
        <w:ind w:firstLine="560" w:firstLineChars="200"/>
        <w:outlineLvl w:val="2"/>
        <w:rPr>
          <w:rFonts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000000"/>
          <w:sz w:val="28"/>
          <w:szCs w:val="28"/>
          <w:lang w:val="en-US" w:eastAsia="zh-CN"/>
        </w:rPr>
        <w:t>《草原防火条例》第十八条、第二十一条、第二十二条</w:t>
      </w:r>
    </w:p>
    <w:p>
      <w:pPr>
        <w:numPr>
          <w:ilvl w:val="0"/>
          <w:numId w:val="1"/>
        </w:numPr>
        <w:spacing w:line="540" w:lineRule="exact"/>
        <w:outlineLvl w:val="1"/>
        <w:rPr>
          <w:rFonts w:ascii="Times New Roman" w:hAnsi="Times New Roman" w:eastAsia="黑体"/>
          <w:sz w:val="28"/>
          <w:szCs w:val="28"/>
        </w:rPr>
      </w:pPr>
      <w:r>
        <w:rPr>
          <w:rFonts w:ascii="Times New Roman" w:hAnsi="Times New Roman" w:eastAsia="黑体"/>
          <w:sz w:val="28"/>
          <w:szCs w:val="28"/>
        </w:rPr>
        <w:t>行政许可服务对象类型</w:t>
      </w:r>
      <w:r>
        <w:rPr>
          <w:rFonts w:hint="eastAsia" w:ascii="Times New Roman" w:hAnsi="Times New Roman" w:eastAsia="黑体"/>
          <w:sz w:val="28"/>
          <w:szCs w:val="28"/>
        </w:rPr>
        <w:t>与改革举措</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1.服务对象类型：</w:t>
      </w:r>
      <w:r>
        <w:rPr>
          <w:rFonts w:ascii="方正仿宋_GBK" w:hAnsi="方正仿宋_GBK" w:eastAsia="方正仿宋_GBK" w:cs="方正仿宋_GBK"/>
          <w:sz w:val="28"/>
          <w:szCs w:val="28"/>
        </w:rPr>
        <w:t>自然人，企业法人，事业单位法人，社会组织法人，非法人企业，行政机关，其他组织</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2.是否为涉企许可事项：</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3.涉企经营许可事项名称：</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4.许可证件名称：</w:t>
      </w:r>
      <w:r>
        <w:rPr>
          <w:rFonts w:ascii="方正仿宋_GBK" w:hAnsi="方正仿宋_GBK" w:eastAsia="方正仿宋_GBK" w:cs="方正仿宋_GBK"/>
          <w:sz w:val="28"/>
          <w:szCs w:val="28"/>
        </w:rPr>
        <w:t>无</w:t>
      </w:r>
    </w:p>
    <w:p>
      <w:pPr>
        <w:spacing w:line="600" w:lineRule="exact"/>
        <w:ind w:firstLine="562" w:firstLineChars="200"/>
        <w:rPr>
          <w:rFonts w:hint="eastAsia" w:ascii="Times New Roman" w:hAnsi="Times New Roman" w:eastAsia="方正仿宋_GBK"/>
          <w:sz w:val="28"/>
          <w:szCs w:val="28"/>
          <w:lang w:eastAsia="zh-CN"/>
        </w:rPr>
      </w:pPr>
      <w:r>
        <w:rPr>
          <w:rFonts w:hint="eastAsia" w:ascii="Times New Roman" w:hAnsi="Times New Roman" w:eastAsia="仿宋GB2312"/>
          <w:b/>
          <w:bCs/>
          <w:sz w:val="28"/>
          <w:szCs w:val="28"/>
        </w:rPr>
        <w:t>5.改革方式：</w:t>
      </w:r>
      <w:r>
        <w:rPr>
          <w:rFonts w:hint="eastAsia" w:ascii="方正仿宋_GBK" w:hAnsi="方正仿宋_GBK" w:eastAsia="方正仿宋_GBK" w:cs="方正仿宋_GBK"/>
          <w:sz w:val="28"/>
          <w:szCs w:val="28"/>
          <w:lang w:eastAsia="zh-CN"/>
        </w:rPr>
        <w:t>减时限</w:t>
      </w:r>
    </w:p>
    <w:p>
      <w:pPr>
        <w:spacing w:line="54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6.具体改革举措</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将承诺审批时限由20个工作</w:t>
      </w:r>
      <w:r>
        <w:rPr>
          <w:rFonts w:hint="eastAsia" w:ascii="方正仿宋_GBK" w:hAnsi="方正仿宋_GBK" w:eastAsia="方正仿宋_GBK" w:cs="方正仿宋_GBK"/>
          <w:sz w:val="28"/>
          <w:szCs w:val="28"/>
          <w:lang w:eastAsia="zh-CN"/>
        </w:rPr>
        <w:t>日</w:t>
      </w:r>
      <w:r>
        <w:rPr>
          <w:rFonts w:hint="eastAsia" w:ascii="方正仿宋_GBK" w:hAnsi="方正仿宋_GBK" w:eastAsia="方正仿宋_GBK" w:cs="方正仿宋_GBK"/>
          <w:sz w:val="28"/>
          <w:szCs w:val="28"/>
        </w:rPr>
        <w:t>压减至5个工作日</w:t>
      </w:r>
    </w:p>
    <w:p>
      <w:pPr>
        <w:spacing w:line="54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7.加强事中事后监管措施</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（1）开展“双随机、一公开”监管，对风险等级高、投诉举报多的企业实施重点监管。检查结束后及时将结果反馈被许可人并向社会公开检查结果。对存在问题的，要求及时整改并依法处理。</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（2）加强信用监管，加大监督检查力度，依法依规对失信主体开展失信惩戒。</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（3）加强“互联网+监管”，推动监管数据归集应用。</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（4）按照“谁审批、谁监管，谁主管、谁监管”的原则，指导各级林草主管部门落实相关监管责任，加强属地监管。</w:t>
      </w:r>
    </w:p>
    <w:p>
      <w:pPr>
        <w:spacing w:line="600" w:lineRule="exact"/>
        <w:ind w:firstLine="560" w:firstLineChars="200"/>
        <w:rPr>
          <w:rFonts w:ascii="方正仿宋_GBK" w:hAnsi="方正仿宋_GBK" w:eastAsia="方正仿宋_GBK" w:cs="方正仿宋_GBK"/>
          <w:sz w:val="28"/>
          <w:szCs w:val="28"/>
        </w:rPr>
      </w:pPr>
      <w:r>
        <w:rPr>
          <w:rFonts w:ascii="方正仿宋_GBK" w:hAnsi="方正仿宋_GBK" w:eastAsia="方正仿宋_GBK" w:cs="方正仿宋_GBK"/>
          <w:sz w:val="28"/>
          <w:szCs w:val="28"/>
        </w:rPr>
        <w:t>（5）强化社会监督，公布举报电话，依法及时处理投诉举报。</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申请材料</w:t>
      </w:r>
    </w:p>
    <w:p>
      <w:pPr>
        <w:spacing w:line="540" w:lineRule="exact"/>
        <w:ind w:firstLine="562" w:firstLineChars="200"/>
        <w:outlineLvl w:val="2"/>
        <w:rPr>
          <w:rFonts w:hint="eastAsia" w:ascii="方正仿宋_GBK" w:hAnsi="方正仿宋_GBK" w:eastAsia="方正仿宋_GBK" w:cs="方正仿宋_GBK"/>
          <w:sz w:val="28"/>
          <w:szCs w:val="28"/>
        </w:rPr>
      </w:pPr>
      <w:r>
        <w:rPr>
          <w:rFonts w:hint="eastAsia" w:ascii="Times New Roman" w:hAnsi="Times New Roman" w:eastAsia="仿宋GB2312"/>
          <w:b/>
          <w:bCs/>
          <w:sz w:val="28"/>
          <w:szCs w:val="28"/>
        </w:rPr>
        <w:t>1.申请材料名称</w:t>
      </w:r>
      <w:r>
        <w:rPr>
          <w:rFonts w:ascii="Times New Roman" w:hAnsi="Times New Roman" w:eastAsia="仿宋GB2312"/>
          <w:b/>
          <w:bCs/>
          <w:sz w:val="28"/>
          <w:szCs w:val="28"/>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（1）书面申请书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（2）进入草原防火管制区开展活动的有关上级主管部门文件；</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（3）活动实施方案；</w:t>
      </w:r>
    </w:p>
    <w:p>
      <w:pPr>
        <w:spacing w:line="540" w:lineRule="exact"/>
        <w:ind w:firstLine="560" w:firstLineChars="200"/>
        <w:outlineLvl w:val="2"/>
        <w:rPr>
          <w:rFonts w:hint="eastAsia"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000000"/>
          <w:sz w:val="28"/>
          <w:szCs w:val="28"/>
          <w:lang w:val="en-US" w:eastAsia="zh-CN"/>
        </w:rPr>
        <w:t>（4）防火措施和灭火准备工作方案。</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规定申请材料的依据：</w:t>
      </w:r>
      <w:r>
        <w:rPr>
          <w:rFonts w:hint="eastAsia" w:ascii="方正仿宋_GBK" w:hAnsi="方正仿宋_GBK" w:eastAsia="方正仿宋_GBK" w:cs="方正仿宋_GBK"/>
          <w:b w:val="0"/>
          <w:bCs w:val="0"/>
          <w:strike w:val="0"/>
          <w:dstrike w:val="0"/>
          <w:color w:val="auto"/>
          <w:sz w:val="28"/>
          <w:szCs w:val="28"/>
          <w:lang w:val="en-US" w:eastAsia="zh-CN"/>
        </w:rPr>
        <w:t>暂无。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中介服务</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1.有无法定中介服务事项：</w:t>
      </w:r>
      <w:r>
        <w:rPr>
          <w:rFonts w:ascii="方正仿宋_GBK" w:hAnsi="方正仿宋_GBK" w:eastAsia="方正仿宋_GBK" w:cs="方正仿宋_GBK"/>
          <w:sz w:val="28"/>
          <w:szCs w:val="28"/>
        </w:rPr>
        <w:t>无</w:t>
      </w:r>
    </w:p>
    <w:p>
      <w:pPr>
        <w:spacing w:line="600" w:lineRule="exact"/>
        <w:ind w:firstLine="562" w:firstLineChars="200"/>
        <w:rPr>
          <w:rFonts w:ascii="方正仿宋_GBK" w:hAnsi="方正仿宋_GBK" w:eastAsia="方正仿宋_GBK" w:cs="方正仿宋_GBK"/>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中介服务事项名称</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设定中介服务事项的依据：</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提供中介服务的机构</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中介服务事项的收费性质</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审批程序</w:t>
      </w:r>
    </w:p>
    <w:p>
      <w:pPr>
        <w:spacing w:line="540" w:lineRule="exact"/>
        <w:ind w:firstLine="562" w:firstLineChars="200"/>
        <w:outlineLvl w:val="2"/>
        <w:rPr>
          <w:rFonts w:hint="eastAsia" w:ascii="Times New Roman" w:hAnsi="Times New Roman" w:eastAsia="仿宋GB2312"/>
          <w:b/>
          <w:bCs/>
          <w:sz w:val="28"/>
          <w:szCs w:val="28"/>
        </w:rPr>
      </w:pPr>
      <w:r>
        <w:rPr>
          <w:rFonts w:hint="eastAsia" w:ascii="Times New Roman" w:hAnsi="Times New Roman" w:eastAsia="仿宋GB2312"/>
          <w:b/>
          <w:bCs/>
          <w:sz w:val="28"/>
          <w:szCs w:val="28"/>
        </w:rPr>
        <w:t>1.办理行政许可的程序环节</w:t>
      </w:r>
      <w:r>
        <w:rPr>
          <w:rFonts w:ascii="Times New Roman" w:hAnsi="Times New Roman" w:eastAsia="仿宋GB2312"/>
          <w:b/>
          <w:bCs/>
          <w:sz w:val="28"/>
          <w:szCs w:val="28"/>
        </w:rPr>
        <w:t>：</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（1）申请；</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（2）受理；</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（3）审查；</w:t>
      </w:r>
    </w:p>
    <w:p>
      <w:pPr>
        <w:spacing w:line="600" w:lineRule="exact"/>
        <w:ind w:firstLine="560" w:firstLineChars="200"/>
        <w:rPr>
          <w:rFonts w:hint="eastAsia" w:ascii="方正仿宋_GBK" w:hAnsi="方正仿宋_GBK" w:eastAsia="方正仿宋_GBK" w:cs="方正仿宋_GBK"/>
          <w:b w:val="0"/>
          <w:bCs w:val="0"/>
          <w:strike w:val="0"/>
          <w:dstrike w:val="0"/>
          <w:color w:val="000000"/>
          <w:sz w:val="28"/>
          <w:szCs w:val="28"/>
          <w:lang w:val="en-US" w:eastAsia="zh-CN"/>
        </w:rPr>
      </w:pPr>
      <w:r>
        <w:rPr>
          <w:rFonts w:hint="eastAsia" w:ascii="方正仿宋_GBK" w:hAnsi="方正仿宋_GBK" w:eastAsia="方正仿宋_GBK" w:cs="方正仿宋_GBK"/>
          <w:b w:val="0"/>
          <w:bCs w:val="0"/>
          <w:strike w:val="0"/>
          <w:dstrike w:val="0"/>
          <w:color w:val="000000"/>
          <w:sz w:val="28"/>
          <w:szCs w:val="28"/>
          <w:lang w:val="en-US" w:eastAsia="zh-CN"/>
        </w:rPr>
        <w:t>（4）决定;</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b w:val="0"/>
          <w:bCs w:val="0"/>
          <w:strike w:val="0"/>
          <w:dstrike w:val="0"/>
          <w:color w:val="000000"/>
          <w:sz w:val="28"/>
          <w:szCs w:val="28"/>
          <w:lang w:val="en-US" w:eastAsia="zh-CN"/>
        </w:rPr>
        <w:t>（5）送达。</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2.规定行政许可程序的依据</w:t>
      </w:r>
      <w:r>
        <w:rPr>
          <w:rFonts w:ascii="Times New Roman" w:hAnsi="Times New Roman" w:eastAsia="仿宋GB2312"/>
          <w:b/>
          <w:bCs/>
          <w:sz w:val="28"/>
          <w:szCs w:val="28"/>
        </w:rPr>
        <w:t>：</w:t>
      </w:r>
      <w:r>
        <w:rPr>
          <w:rFonts w:hint="eastAsia" w:ascii="方正仿宋_GBK" w:hAnsi="方正仿宋_GBK" w:eastAsia="方正仿宋_GBK" w:cs="方正仿宋_GBK"/>
          <w:b w:val="0"/>
          <w:bCs w:val="0"/>
          <w:strike w:val="0"/>
          <w:dstrike w:val="0"/>
          <w:color w:val="auto"/>
          <w:sz w:val="28"/>
          <w:szCs w:val="28"/>
          <w:lang w:val="en-US" w:eastAsia="zh-CN"/>
        </w:rPr>
        <w:t>《中华人民共和国行政许可法》</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是否需要现场勘验</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是否需要组织听证</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w:t>
      </w:r>
      <w:r>
        <w:rPr>
          <w:rFonts w:ascii="Times New Roman" w:hAnsi="Times New Roman" w:eastAsia="仿宋GB2312"/>
          <w:b/>
          <w:bCs/>
          <w:sz w:val="28"/>
          <w:szCs w:val="28"/>
        </w:rPr>
        <w:t>是否需要招标、拍卖、挂牌交易</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w:t>
      </w:r>
      <w:r>
        <w:rPr>
          <w:rFonts w:ascii="Times New Roman" w:hAnsi="Times New Roman" w:eastAsia="仿宋GB2312"/>
          <w:b/>
          <w:bCs/>
          <w:sz w:val="28"/>
          <w:szCs w:val="28"/>
        </w:rPr>
        <w:t>是否需要检验、检测、检疫</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w:t>
      </w:r>
      <w:r>
        <w:rPr>
          <w:rFonts w:ascii="Times New Roman" w:hAnsi="Times New Roman" w:eastAsia="仿宋GB2312"/>
          <w:b/>
          <w:bCs/>
          <w:sz w:val="28"/>
          <w:szCs w:val="28"/>
        </w:rPr>
        <w:t>是否需要鉴定</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8.</w:t>
      </w:r>
      <w:r>
        <w:rPr>
          <w:rFonts w:ascii="Times New Roman" w:hAnsi="Times New Roman" w:eastAsia="仿宋GB2312"/>
          <w:b/>
          <w:bCs/>
          <w:sz w:val="28"/>
          <w:szCs w:val="28"/>
        </w:rPr>
        <w:t>是否需要专家评审</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9.</w:t>
      </w:r>
      <w:r>
        <w:rPr>
          <w:rFonts w:ascii="Times New Roman" w:hAnsi="Times New Roman" w:eastAsia="仿宋GB2312"/>
          <w:b/>
          <w:bCs/>
          <w:sz w:val="28"/>
          <w:szCs w:val="28"/>
        </w:rPr>
        <w:t>是否需要向社会公示</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10.</w:t>
      </w:r>
      <w:r>
        <w:rPr>
          <w:rFonts w:ascii="Times New Roman" w:hAnsi="Times New Roman" w:eastAsia="仿宋GB2312"/>
          <w:b/>
          <w:bCs/>
          <w:sz w:val="28"/>
          <w:szCs w:val="28"/>
        </w:rPr>
        <w:t>是否实行告知承诺办理</w:t>
      </w:r>
      <w:r>
        <w:rPr>
          <w:rFonts w:hint="eastAsia" w:ascii="Times New Roman" w:hAnsi="Times New Roman" w:eastAsia="仿宋GB2312"/>
          <w:b/>
          <w:bCs/>
          <w:sz w:val="28"/>
          <w:szCs w:val="28"/>
        </w:rPr>
        <w:t>：</w:t>
      </w:r>
      <w:r>
        <w:rPr>
          <w:rFonts w:ascii="方正仿宋_GBK" w:hAnsi="方正仿宋_GBK" w:eastAsia="方正仿宋_GBK" w:cs="方正仿宋_GBK"/>
          <w:sz w:val="28"/>
          <w:szCs w:val="28"/>
        </w:rPr>
        <w:t>否</w:t>
      </w:r>
    </w:p>
    <w:p>
      <w:pPr>
        <w:spacing w:line="600" w:lineRule="exact"/>
        <w:ind w:firstLine="562" w:firstLineChars="200"/>
        <w:rPr>
          <w:rFonts w:ascii="Times New Roman" w:hAnsi="Times New Roman" w:eastAsia="仿宋GB2312"/>
          <w:b/>
          <w:bCs/>
          <w:sz w:val="28"/>
          <w:szCs w:val="28"/>
        </w:rPr>
      </w:pPr>
      <w:r>
        <w:rPr>
          <w:rFonts w:hint="eastAsia" w:ascii="Times New Roman" w:hAnsi="Times New Roman" w:eastAsia="仿宋GB2312"/>
          <w:b/>
          <w:bCs/>
          <w:sz w:val="28"/>
          <w:szCs w:val="28"/>
        </w:rPr>
        <w:t>11.审批机关是否委托服务机构开展技术性服务：</w:t>
      </w:r>
      <w:r>
        <w:rPr>
          <w:rFonts w:hint="eastAsia" w:ascii="方正仿宋_GBK" w:hAnsi="方正仿宋_GBK" w:eastAsia="方正仿宋_GBK" w:cs="方正仿宋_GBK"/>
          <w:sz w:val="28"/>
          <w:szCs w:val="28"/>
        </w:rPr>
        <w:t>否</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受理和审批时限</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1.承诺受理时限：</w:t>
      </w:r>
      <w:r>
        <w:rPr>
          <w:rFonts w:ascii="方正仿宋_GBK" w:hAnsi="方正仿宋_GBK" w:eastAsia="方正仿宋_GBK" w:cs="方正仿宋_GBK"/>
          <w:sz w:val="28"/>
          <w:szCs w:val="28"/>
        </w:rPr>
        <w:t>5个工作日</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2.法定审批时限：</w:t>
      </w:r>
      <w:r>
        <w:rPr>
          <w:rFonts w:hint="eastAsia" w:ascii="方正仿宋_GBK" w:hAnsi="方正仿宋_GBK" w:eastAsia="方正仿宋_GBK" w:cs="方正仿宋_GBK"/>
          <w:sz w:val="28"/>
          <w:szCs w:val="28"/>
        </w:rPr>
        <w:t>20个工作日</w:t>
      </w:r>
    </w:p>
    <w:p>
      <w:pPr>
        <w:spacing w:line="540" w:lineRule="exact"/>
        <w:ind w:firstLine="562" w:firstLineChars="200"/>
        <w:outlineLvl w:val="2"/>
        <w:rPr>
          <w:rFonts w:ascii="Times New Roman" w:hAnsi="Times New Roman" w:eastAsia="仿宋GB2312"/>
          <w:b/>
          <w:bCs/>
          <w:sz w:val="28"/>
          <w:szCs w:val="28"/>
        </w:rPr>
      </w:pPr>
      <w:r>
        <w:rPr>
          <w:rFonts w:hint="eastAsia" w:ascii="Times New Roman" w:hAnsi="Times New Roman" w:eastAsia="仿宋GB2312"/>
          <w:b/>
          <w:bCs/>
          <w:sz w:val="28"/>
          <w:szCs w:val="28"/>
        </w:rPr>
        <w:t>3.规定法定审批时限依据</w:t>
      </w:r>
    </w:p>
    <w:p>
      <w:pPr>
        <w:spacing w:line="600" w:lineRule="exact"/>
        <w:ind w:firstLine="560" w:firstLineChars="200"/>
        <w:rPr>
          <w:rFonts w:ascii="Times New Roman" w:hAnsi="Times New Roman" w:eastAsia="仿宋GB2312"/>
          <w:sz w:val="32"/>
          <w:szCs w:val="32"/>
        </w:rPr>
      </w:pPr>
      <w:r>
        <w:rPr>
          <w:rFonts w:ascii="方正仿宋_GBK" w:hAnsi="方正仿宋_GBK" w:eastAsia="方正仿宋_GBK" w:cs="方正仿宋_GBK"/>
          <w:sz w:val="28"/>
          <w:szCs w:val="28"/>
        </w:rPr>
        <w:t>《中华人民共和国行政许可法》第四十二条：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依照本法第二十六条的规定，行政许可采取统一办理或者联合办理、集中办理的，办理的时间不得超过四十五日；四十五日内不能办结的，经本级人</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4.承诺审批时限：</w:t>
      </w:r>
      <w:r>
        <w:rPr>
          <w:rFonts w:hint="eastAsia" w:ascii="方正仿宋_GBK" w:hAnsi="方正仿宋_GBK" w:eastAsia="方正仿宋_GBK" w:cs="方正仿宋_GBK"/>
          <w:sz w:val="28"/>
          <w:szCs w:val="28"/>
          <w:lang w:val="en-US" w:eastAsia="zh-CN"/>
        </w:rPr>
        <w:t>5</w:t>
      </w:r>
      <w:r>
        <w:rPr>
          <w:rFonts w:ascii="方正仿宋_GBK" w:hAnsi="方正仿宋_GBK" w:eastAsia="方正仿宋_GBK" w:cs="方正仿宋_GBK"/>
          <w:sz w:val="28"/>
          <w:szCs w:val="28"/>
        </w:rPr>
        <w:t>个工作日</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收费</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1.办理行政许可是否收费：</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2.收费项目的名称、收费项目的标准、设定收费项目的依据、规定收费标准的依据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行政许可证件</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1.审批结果类型：</w:t>
      </w:r>
      <w:r>
        <w:rPr>
          <w:rFonts w:ascii="方正仿宋_GBK" w:hAnsi="方正仿宋_GBK" w:eastAsia="方正仿宋_GBK" w:cs="方正仿宋_GBK"/>
          <w:sz w:val="28"/>
          <w:szCs w:val="28"/>
        </w:rPr>
        <w:t>其他</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2.审批结果名称：</w:t>
      </w:r>
      <w:r>
        <w:rPr>
          <w:rFonts w:hint="eastAsia" w:ascii="方正仿宋_GBK" w:hAnsi="方正仿宋_GBK" w:eastAsia="方正仿宋_GBK" w:cs="方正仿宋_GBK"/>
          <w:sz w:val="28"/>
          <w:szCs w:val="28"/>
        </w:rPr>
        <w:t>草原防火通行证</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3.审批结果的有效期限：</w:t>
      </w:r>
      <w:r>
        <w:rPr>
          <w:rFonts w:hint="eastAsia" w:ascii="方正仿宋_GBK" w:hAnsi="方正仿宋_GBK" w:eastAsia="方正仿宋_GBK" w:cs="方正仿宋_GBK"/>
          <w:sz w:val="28"/>
          <w:szCs w:val="28"/>
        </w:rPr>
        <w:t>以审批确定的有效期限为准</w:t>
      </w:r>
    </w:p>
    <w:p>
      <w:pPr>
        <w:spacing w:line="540" w:lineRule="exact"/>
        <w:ind w:firstLine="562" w:firstLineChars="200"/>
        <w:outlineLvl w:val="2"/>
        <w:rPr>
          <w:rFonts w:ascii="Times New Roman" w:hAnsi="Times New Roman" w:eastAsia="仿宋GB2312"/>
          <w:sz w:val="32"/>
          <w:szCs w:val="32"/>
        </w:rPr>
      </w:pPr>
      <w:r>
        <w:rPr>
          <w:rFonts w:hint="eastAsia" w:ascii="Times New Roman" w:hAnsi="Times New Roman" w:eastAsia="仿宋GB2312"/>
          <w:b/>
          <w:bCs/>
          <w:sz w:val="28"/>
          <w:szCs w:val="28"/>
        </w:rPr>
        <w:t>4.规定审批结果有效期限的依据</w:t>
      </w:r>
      <w:r>
        <w:rPr>
          <w:rFonts w:ascii="Times New Roman" w:hAnsi="Times New Roman" w:eastAsia="仿宋GB2312"/>
          <w:b/>
          <w:bCs/>
          <w:sz w:val="28"/>
          <w:szCs w:val="28"/>
        </w:rPr>
        <w:t>：</w:t>
      </w:r>
      <w:r>
        <w:rPr>
          <w:rFonts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5.是否需要办理审批结果变更手续：</w:t>
      </w:r>
      <w:r>
        <w:rPr>
          <w:rFonts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sz w:val="32"/>
          <w:szCs w:val="32"/>
        </w:rPr>
      </w:pPr>
      <w:r>
        <w:rPr>
          <w:rFonts w:hint="eastAsia" w:ascii="Times New Roman" w:hAnsi="Times New Roman" w:eastAsia="仿宋GB2312"/>
          <w:b/>
          <w:bCs/>
          <w:sz w:val="28"/>
          <w:szCs w:val="28"/>
        </w:rPr>
        <w:t>6.办理审批结果变更手续的要求</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7.是否需要办理审批结果延续手续：</w:t>
      </w:r>
      <w:r>
        <w:rPr>
          <w:rFonts w:hint="eastAsia" w:ascii="方正仿宋_GBK" w:hAnsi="方正仿宋_GBK" w:eastAsia="方正仿宋_GBK" w:cs="方正仿宋_GBK"/>
          <w:sz w:val="28"/>
          <w:szCs w:val="28"/>
        </w:rPr>
        <w:t>否</w:t>
      </w:r>
    </w:p>
    <w:p>
      <w:pPr>
        <w:spacing w:line="540" w:lineRule="exact"/>
        <w:ind w:firstLine="562" w:firstLineChars="200"/>
        <w:outlineLvl w:val="2"/>
        <w:rPr>
          <w:rFonts w:ascii="Times New Roman" w:hAnsi="Times New Roman" w:eastAsia="仿宋GB2312"/>
          <w:sz w:val="32"/>
          <w:szCs w:val="32"/>
        </w:rPr>
      </w:pPr>
      <w:r>
        <w:rPr>
          <w:rFonts w:hint="eastAsia" w:ascii="Times New Roman" w:hAnsi="Times New Roman" w:eastAsia="仿宋GB2312"/>
          <w:b/>
          <w:bCs/>
          <w:sz w:val="28"/>
          <w:szCs w:val="28"/>
        </w:rPr>
        <w:t>8.办理审批结果延续手续的要求</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9.审批结果的有效地域范围</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以审批确定的范围为准</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10.规定审批结果有效地域范围的依据</w:t>
      </w:r>
      <w:r>
        <w:rPr>
          <w:rFonts w:ascii="Times New Roman" w:hAnsi="Times New Roman" w:eastAsia="仿宋GB2312"/>
          <w:b/>
          <w:bCs/>
          <w:sz w:val="28"/>
          <w:szCs w:val="28"/>
        </w:rPr>
        <w:t>：</w:t>
      </w:r>
      <w:r>
        <w:rPr>
          <w:rFonts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行政许可数量限制</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1.有无行政许可数量限制：</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2.公布数量限制的方式：</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3.公布数量限制的周期：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4.在数量限制条件下实施行政许可的方式：</w:t>
      </w:r>
      <w:r>
        <w:rPr>
          <w:rFonts w:hint="eastAsia" w:ascii="方正仿宋_GBK" w:hAnsi="方正仿宋_GBK" w:eastAsia="方正仿宋_GBK" w:cs="方正仿宋_GBK"/>
          <w:sz w:val="28"/>
          <w:szCs w:val="28"/>
        </w:rPr>
        <w:t>无</w:t>
      </w:r>
    </w:p>
    <w:p>
      <w:pPr>
        <w:spacing w:line="600" w:lineRule="exact"/>
        <w:ind w:firstLine="562" w:firstLineChars="200"/>
        <w:jc w:val="left"/>
        <w:rPr>
          <w:rFonts w:ascii="Times New Roman" w:hAnsi="Times New Roman" w:eastAsia="仿宋GB2312"/>
          <w:sz w:val="28"/>
          <w:szCs w:val="28"/>
        </w:rPr>
      </w:pPr>
      <w:r>
        <w:rPr>
          <w:rFonts w:hint="eastAsia" w:ascii="Times New Roman" w:hAnsi="Times New Roman" w:eastAsia="仿宋GB2312"/>
          <w:b/>
          <w:bCs/>
          <w:sz w:val="28"/>
          <w:szCs w:val="28"/>
        </w:rPr>
        <w:t>5.规定在数量限制条件下实施行政许可方式的依据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行政许可后年检</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1.有无年检要求：</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2.设定年检要求的依据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3.年检周期：</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4.年检是否要求报送材料：</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5.年检报送材料名称：</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6.年检是否收费：</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7.年检收费项目的名称、年检收费项目的标准、设定年检收费项目的依据、规定年检项目收费标准的依据</w:t>
      </w:r>
      <w:r>
        <w:rPr>
          <w:rFonts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Times New Roman" w:hAnsi="Times New Roman" w:eastAsia="仿宋GB2312"/>
          <w:sz w:val="28"/>
          <w:szCs w:val="28"/>
        </w:rPr>
      </w:pPr>
      <w:r>
        <w:rPr>
          <w:rFonts w:hint="eastAsia" w:ascii="Times New Roman" w:hAnsi="Times New Roman" w:eastAsia="仿宋GB2312"/>
          <w:b/>
          <w:bCs/>
          <w:sz w:val="28"/>
          <w:szCs w:val="28"/>
        </w:rPr>
        <w:t>8.通过年检的证明或者标志：</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行政许可后年报</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1.</w:t>
      </w:r>
      <w:r>
        <w:rPr>
          <w:rFonts w:ascii="Times New Roman" w:hAnsi="Times New Roman" w:eastAsia="仿宋GB2312"/>
          <w:b/>
          <w:bCs/>
          <w:sz w:val="28"/>
          <w:szCs w:val="28"/>
        </w:rPr>
        <w:t>有无年报要求</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2.</w:t>
      </w:r>
      <w:r>
        <w:rPr>
          <w:rFonts w:ascii="Times New Roman" w:hAnsi="Times New Roman" w:eastAsia="仿宋GB2312"/>
          <w:b/>
          <w:bCs/>
          <w:sz w:val="28"/>
          <w:szCs w:val="28"/>
        </w:rPr>
        <w:t>年报报送材料名称</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spacing w:line="540" w:lineRule="exact"/>
        <w:ind w:firstLine="562" w:firstLineChars="200"/>
        <w:outlineLvl w:val="2"/>
        <w:rPr>
          <w:rFonts w:ascii="方正仿宋_GBK" w:hAnsi="方正仿宋_GBK" w:eastAsia="方正仿宋_GBK" w:cs="方正仿宋_GBK"/>
          <w:sz w:val="28"/>
          <w:szCs w:val="28"/>
        </w:rPr>
      </w:pPr>
      <w:r>
        <w:rPr>
          <w:rFonts w:hint="eastAsia" w:ascii="Times New Roman" w:hAnsi="Times New Roman" w:eastAsia="仿宋GB2312"/>
          <w:b/>
          <w:bCs/>
          <w:sz w:val="28"/>
          <w:szCs w:val="28"/>
        </w:rPr>
        <w:t>3.</w:t>
      </w:r>
      <w:r>
        <w:rPr>
          <w:rFonts w:ascii="Times New Roman" w:hAnsi="Times New Roman" w:eastAsia="仿宋GB2312"/>
          <w:b/>
          <w:bCs/>
          <w:sz w:val="28"/>
          <w:szCs w:val="28"/>
        </w:rPr>
        <w:t>设定年报要求的依据：</w:t>
      </w:r>
      <w:r>
        <w:rPr>
          <w:rFonts w:hint="eastAsia" w:ascii="方正仿宋_GBK" w:hAnsi="方正仿宋_GBK" w:eastAsia="方正仿宋_GBK" w:cs="方正仿宋_GBK"/>
          <w:sz w:val="28"/>
          <w:szCs w:val="28"/>
        </w:rPr>
        <w:t>无</w:t>
      </w:r>
    </w:p>
    <w:p>
      <w:pPr>
        <w:spacing w:line="600" w:lineRule="exact"/>
        <w:ind w:firstLine="562" w:firstLineChars="200"/>
        <w:rPr>
          <w:rFonts w:ascii="Times New Roman" w:hAnsi="Times New Roman" w:eastAsia="仿宋GB2312"/>
          <w:sz w:val="28"/>
          <w:szCs w:val="28"/>
        </w:rPr>
      </w:pPr>
      <w:r>
        <w:rPr>
          <w:rFonts w:hint="eastAsia" w:ascii="Times New Roman" w:hAnsi="Times New Roman" w:eastAsia="仿宋GB2312"/>
          <w:b/>
          <w:bCs/>
          <w:sz w:val="28"/>
          <w:szCs w:val="28"/>
        </w:rPr>
        <w:t>4.</w:t>
      </w:r>
      <w:r>
        <w:rPr>
          <w:rFonts w:ascii="Times New Roman" w:hAnsi="Times New Roman" w:eastAsia="仿宋GB2312"/>
          <w:b/>
          <w:bCs/>
          <w:sz w:val="28"/>
          <w:szCs w:val="28"/>
        </w:rPr>
        <w:t>年报周期</w:t>
      </w:r>
      <w:r>
        <w:rPr>
          <w:rFonts w:hint="eastAsia" w:ascii="Times New Roman" w:hAnsi="Times New Roman" w:eastAsia="仿宋GB2312"/>
          <w:b/>
          <w:bCs/>
          <w:sz w:val="28"/>
          <w:szCs w:val="28"/>
        </w:rPr>
        <w:t>：</w:t>
      </w:r>
      <w:r>
        <w:rPr>
          <w:rFonts w:hint="eastAsia" w:ascii="方正仿宋_GBK" w:hAnsi="方正仿宋_GBK" w:eastAsia="方正仿宋_GBK" w:cs="方正仿宋_GBK"/>
          <w:sz w:val="28"/>
          <w:szCs w:val="28"/>
        </w:rPr>
        <w:t>无</w:t>
      </w:r>
    </w:p>
    <w:p>
      <w:pPr>
        <w:numPr>
          <w:ilvl w:val="0"/>
          <w:numId w:val="1"/>
        </w:num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监管主体</w:t>
      </w:r>
    </w:p>
    <w:p>
      <w:pPr>
        <w:spacing w:line="600" w:lineRule="exact"/>
        <w:ind w:firstLine="560" w:firstLineChars="200"/>
        <w:rPr>
          <w:rFonts w:ascii="方正仿宋_GBK" w:hAnsi="方正仿宋_GBK" w:eastAsia="方正仿宋_GBK" w:cs="方正仿宋_GBK"/>
          <w:sz w:val="28"/>
          <w:szCs w:val="28"/>
        </w:rPr>
      </w:pPr>
      <w:r>
        <w:rPr>
          <w:rFonts w:hint="eastAsia" w:ascii="方正仿宋_GBK" w:hAnsi="方正仿宋_GBK" w:eastAsia="方正仿宋_GBK" w:cs="方正仿宋_GBK"/>
          <w:sz w:val="28"/>
          <w:szCs w:val="28"/>
        </w:rPr>
        <w:t>省</w:t>
      </w:r>
      <w:r>
        <w:rPr>
          <w:rFonts w:hint="eastAsia" w:ascii="方正仿宋_GBK" w:hAnsi="方正仿宋_GBK" w:eastAsia="方正仿宋_GBK" w:cs="方正仿宋_GBK"/>
          <w:sz w:val="28"/>
          <w:szCs w:val="28"/>
          <w:lang w:eastAsia="zh-CN"/>
        </w:rPr>
        <w:t>林草局</w:t>
      </w:r>
      <w:r>
        <w:rPr>
          <w:rFonts w:hint="eastAsia" w:ascii="方正仿宋_GBK" w:hAnsi="方正仿宋_GBK" w:eastAsia="方正仿宋_GBK" w:cs="方正仿宋_GBK"/>
          <w:sz w:val="28"/>
          <w:szCs w:val="28"/>
        </w:rPr>
        <w:t>、市级林草部门、县级林草部门</w:t>
      </w:r>
    </w:p>
    <w:p>
      <w:pPr>
        <w:spacing w:line="540" w:lineRule="exact"/>
        <w:outlineLvl w:val="1"/>
        <w:rPr>
          <w:rFonts w:ascii="Times New Roman" w:hAnsi="Times New Roman" w:eastAsia="黑体"/>
          <w:sz w:val="28"/>
          <w:szCs w:val="28"/>
        </w:rPr>
      </w:pPr>
      <w:r>
        <w:rPr>
          <w:rFonts w:hint="eastAsia" w:ascii="Times New Roman" w:hAnsi="Times New Roman" w:eastAsia="黑体"/>
          <w:sz w:val="28"/>
          <w:szCs w:val="28"/>
        </w:rPr>
        <w:t>十五、备注</w:t>
      </w:r>
    </w:p>
    <w:p>
      <w:pPr>
        <w:spacing w:line="600" w:lineRule="exact"/>
        <w:ind w:firstLine="560" w:firstLineChars="200"/>
        <w:rPr>
          <w:rFonts w:ascii="方正仿宋_GBK" w:hAnsi="方正仿宋_GBK" w:eastAsia="方正仿宋_GBK" w:cs="方正仿宋_GBK"/>
          <w:sz w:val="28"/>
          <w:szCs w:val="28"/>
        </w:rPr>
      </w:pPr>
    </w:p>
    <w:p>
      <w:pPr>
        <w:spacing w:line="540" w:lineRule="exact"/>
        <w:outlineLvl w:val="1"/>
        <w:rPr>
          <w:rFonts w:ascii="Times New Roman" w:hAnsi="Times New Roman" w:eastAsia="黑体"/>
          <w:sz w:val="28"/>
          <w:szCs w:val="28"/>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GB2312">
    <w:altName w:val="方正仿宋_GBK"/>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Arial">
    <w:altName w:val="Nimbus Roman No9 L"/>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abstractNum w:abstractNumId="1">
    <w:nsid w:val="FFEC46C3"/>
    <w:multiLevelType w:val="singleLevel"/>
    <w:tmpl w:val="FFEC46C3"/>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trackRevisions w:val="true"/>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4MzVlNjk0M2ViNzEzYjEyZTgwNDYzOTU3YzMzZWUifQ=="/>
  </w:docVars>
  <w:rsids>
    <w:rsidRoot w:val="00172A27"/>
    <w:rsid w:val="00172A27"/>
    <w:rsid w:val="00330E3C"/>
    <w:rsid w:val="00535059"/>
    <w:rsid w:val="35DFBFBA"/>
    <w:rsid w:val="3FFB44B3"/>
    <w:rsid w:val="6B7FAC52"/>
    <w:rsid w:val="777F7437"/>
    <w:rsid w:val="7DA9148D"/>
    <w:rsid w:val="9C5E4412"/>
    <w:rsid w:val="A5FF92A5"/>
    <w:rsid w:val="CEE7B152"/>
    <w:rsid w:val="DFFE18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7"/>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脚 Char"/>
    <w:link w:val="3"/>
    <w:qFormat/>
    <w:uiPriority w:val="0"/>
    <w:rPr>
      <w:rFonts w:ascii="Calibri" w:hAnsi="Calibri"/>
      <w:kern w:val="2"/>
      <w:sz w:val="18"/>
      <w:szCs w:val="18"/>
    </w:rPr>
  </w:style>
  <w:style w:type="character" w:customStyle="1" w:styleId="8">
    <w:name w:val="页眉 Char"/>
    <w:link w:val="4"/>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301</Words>
  <Characters>1722</Characters>
  <Lines>14</Lines>
  <Paragraphs>4</Paragraphs>
  <TotalTime>3</TotalTime>
  <ScaleCrop>false</ScaleCrop>
  <LinksUpToDate>false</LinksUpToDate>
  <CharactersWithSpaces>2019</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2020-07-26T16:39:00Z</dcterms:created>
  <dc:creator>49152</dc:creator>
  <cp:lastModifiedBy>。</cp:lastModifiedBy>
  <cp:lastPrinted>2022-06-19T06:53:00Z</cp:lastPrinted>
  <dcterms:modified xsi:type="dcterms:W3CDTF">2024-01-10T16:05:44Z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8538FE0699894DDBB52C9CC2A83EAC20</vt:lpwstr>
  </property>
  <property fmtid="{D5CDD505-2E9C-101B-9397-08002B2CF9AE}" pid="3" name="KSOProductBuildVer">
    <vt:lpwstr>2052-11.8.2.10125</vt:lpwstr>
  </property>
</Properties>
</file>