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44"/>
          <w:u w:val="single"/>
          <w:lang w:val="en-US" w:eastAsia="zh-CN"/>
        </w:rPr>
        <w:t>临翔区气象局2024</w:t>
      </w: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44"/>
          <w:lang w:val="en-US" w:eastAsia="zh-CN"/>
        </w:rPr>
        <w:t>年度涉企行政检查计划表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8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355"/>
        <w:gridCol w:w="2160"/>
        <w:gridCol w:w="1476"/>
        <w:gridCol w:w="90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对象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依据</w:t>
            </w: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Cs w:val="32"/>
                <w:lang w:val="en-US" w:eastAsia="zh-CN"/>
              </w:rPr>
              <w:t>防雷安全重点单位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(</w:t>
            </w:r>
            <w:r>
              <w:rPr>
                <w:rFonts w:hint="default" w:ascii="仿宋_GB2312" w:hAnsi="仿宋_GB2312" w:cs="仿宋_GB2312"/>
                <w:szCs w:val="32"/>
                <w:lang w:val="en-US" w:eastAsia="zh-CN"/>
              </w:rPr>
              <w:t>涉及油库、气库、弹药库、化学品仓库、烟花爆竹、石化等易燃易爆建设工程和场所，以及雷电易发区内的矿区等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）</w:t>
            </w:r>
            <w:r>
              <w:rPr>
                <w:rFonts w:hint="default" w:ascii="仿宋_GB2312" w:hAnsi="仿宋_GB2312" w:cs="仿宋_GB2312"/>
                <w:szCs w:val="32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是否按国家有关防雷技术标准要求安装防雷装置；雷电防护装置是否符合国家有关技术标准要求；投入使用的雷电防护装置是否进行设计审核和竣工验收；是否按规定开展定期检测；是否制定本单位防雷应急预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《中华人民共和国气象法》 《气象灾害防御条例》《防雷减灾管理办法》 《雷电防护装置设计审核和竣工验收规定》 《雷电防护装置检测资质管理办法》。</w:t>
            </w: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年3月至10月。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日常巡查、专项检查、双随机抽查和联合检查等。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防雷安全重点单位（雷电易发区旅游景点）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是否按国家有关防雷技术标准要求安装防雷装置；雷电防护装置是否符合国家有关技术标准要求；投入使用的雷电防护装置是否进行设计审核和竣工验收；是否按规定开展定期检测；是否制定本单位防雷应急预案等。</w:t>
            </w: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《中华人民共和国气象法》 《气象灾害防御条例》 《防雷减灾管理办法》 《雷电防护装置设计审核和竣工验收规定》 《雷电防护装置检测资质管理办法》。</w:t>
            </w:r>
          </w:p>
        </w:tc>
        <w:tc>
          <w:tcPr>
            <w:tcW w:w="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年3月至10月。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日常巡查、专项检查、双随机抽查和联合检查等。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填表人：鲍美香           单位负责人签字：禹金红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="101" w:line="421" w:lineRule="exact"/>
        <w:rPr>
          <w:rFonts w:hint="eastAsia" w:ascii="仿宋_GB2312" w:hAnsi="仿宋_GB2312" w:eastAsia="仿宋_GB2312" w:cs="仿宋_GB2312"/>
          <w:color w:val="333333"/>
          <w:spacing w:val="-7"/>
          <w:position w:val="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exact"/>
        <w:ind w:firstLine="532" w:firstLineChars="200"/>
        <w:textAlignment w:val="auto"/>
      </w:pPr>
      <w:r>
        <w:rPr>
          <w:rFonts w:hint="eastAsia" w:ascii="仿宋_GB2312" w:hAnsi="仿宋_GB2312" w:eastAsia="仿宋_GB2312" w:cs="仿宋_GB2312"/>
          <w:color w:val="333333"/>
          <w:spacing w:val="-7"/>
          <w:position w:val="1"/>
          <w:sz w:val="28"/>
          <w:szCs w:val="28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jU2YWVjOWJlYTdkZWU4ZDllNGM0NmI1Y2JkNjAifQ=="/>
  </w:docVars>
  <w:rsids>
    <w:rsidRoot w:val="54AF6B28"/>
    <w:rsid w:val="077B59E4"/>
    <w:rsid w:val="108F1F89"/>
    <w:rsid w:val="18D73D8D"/>
    <w:rsid w:val="1C7B7161"/>
    <w:rsid w:val="20D16A46"/>
    <w:rsid w:val="23327F25"/>
    <w:rsid w:val="263D7ADE"/>
    <w:rsid w:val="2F8C6C02"/>
    <w:rsid w:val="32EE1EBA"/>
    <w:rsid w:val="34E6767A"/>
    <w:rsid w:val="36552BDC"/>
    <w:rsid w:val="379B023B"/>
    <w:rsid w:val="37FA46DD"/>
    <w:rsid w:val="3B5339F4"/>
    <w:rsid w:val="3E3975A0"/>
    <w:rsid w:val="45DE130F"/>
    <w:rsid w:val="514D70FC"/>
    <w:rsid w:val="52C01F3C"/>
    <w:rsid w:val="54AF6B28"/>
    <w:rsid w:val="734C2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640"/>
      <w:outlineLvl w:val="2"/>
    </w:pPr>
    <w:rPr>
      <w:rFonts w:eastAsia="方正楷体_GBK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  <w:rPr>
      <w:rFonts w:cs="Times New Roman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2024-02-26T07:23:00Z</dcterms:created>
  <dc:creator>万户网络</dc:creator>
  <cp:lastModifiedBy>Administrator</cp:lastModifiedBy>
  <dcterms:modified xsi:type="dcterms:W3CDTF">2024-03-14T08:23:35Z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8BAD4FC38957483989A55CB4C2DE1DC4_13</vt:lpwstr>
  </property>
</Properties>
</file>