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420" w:lineRule="exact"/>
        <w:ind w:left="0" w:leftChars="0" w:right="0" w:rightChars="0"/>
        <w:jc w:val="center"/>
        <w:textAlignment w:val="auto"/>
        <w:outlineLvl w:val="0"/>
        <w:rPr>
          <w:rFonts w:hint="eastAsia" w:ascii="方正小标宋简体" w:hAnsi="方正小标宋简体" w:eastAsia="方正小标宋简体" w:cs="方正小标宋简体"/>
          <w:b w:val="0"/>
          <w:bCs w:val="0"/>
          <w:strike w:val="0"/>
          <w:dstrike w:val="0"/>
          <w:color w:val="auto"/>
          <w:sz w:val="40"/>
          <w:szCs w:val="40"/>
        </w:rPr>
      </w:pPr>
      <w:r>
        <w:rPr>
          <w:rFonts w:hint="eastAsia" w:ascii="方正小标宋简体" w:hAnsi="方正小标宋简体" w:eastAsia="方正小标宋简体" w:cs="方正小标宋简体"/>
          <w:b w:val="0"/>
          <w:bCs w:val="0"/>
          <w:strike w:val="0"/>
          <w:dstrike w:val="0"/>
          <w:color w:val="auto"/>
          <w:sz w:val="40"/>
          <w:szCs w:val="40"/>
        </w:rPr>
        <w:t>特种设备使用登记实施规范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特种设备使用登记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方正黑体_GBK" w:hAnsi="方正黑体_GBK" w:eastAsia="方正黑体_GBK" w:cs="方正黑体_GBK"/>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市市场监管局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市市场监管局（部分委托县级市场监管部门实施）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《中华人民共和国特种设备安全法》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《特种设备安全监察条例》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《云南省人民政府关于调整112项涉及州级及以下行政权力事项的决定》（云政发〔2020〕21号）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特种设备使用登记（设区的市级权限）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803" w:firstLineChars="200"/>
        <w:jc w:val="center"/>
        <w:textAlignment w:val="auto"/>
        <w:rPr>
          <w:rFonts w:hint="eastAsia" w:ascii="方正小标宋简体" w:hAnsi="方正小标宋简体" w:eastAsia="方正小标宋简体" w:cs="方正小标宋简体"/>
          <w:b/>
          <w:bCs/>
          <w:strike w:val="0"/>
          <w:dstrike w:val="0"/>
          <w:color w:val="auto"/>
          <w:sz w:val="40"/>
          <w:szCs w:val="40"/>
          <w:lang w:val="en-US" w:eastAsia="zh-CN"/>
        </w:rPr>
      </w:pPr>
      <w:r>
        <w:rPr>
          <w:rFonts w:hint="eastAsia" w:ascii="方正小标宋简体" w:hAnsi="方正小标宋简体" w:eastAsia="方正小标宋简体" w:cs="方正小标宋简体"/>
          <w:b/>
          <w:bCs/>
          <w:strike w:val="0"/>
          <w:dstrike w:val="0"/>
          <w:color w:val="auto"/>
          <w:sz w:val="40"/>
          <w:szCs w:val="40"/>
          <w:lang w:val="en-US" w:eastAsia="zh-CN"/>
        </w:rPr>
        <w:t>10.2　特种设备使用登记（设区的市级权限）【000131110002】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default" w:ascii="楷体_GB2312" w:hAnsi="楷体_GB2312" w:eastAsia="楷体_GB2312" w:cs="楷体_GB2312"/>
          <w:b w:val="0"/>
          <w:bCs w:val="0"/>
          <w:sz w:val="32"/>
          <w:szCs w:val="32"/>
          <w:lang w:val="en-US" w:eastAsia="zh-CN"/>
        </w:rPr>
        <w:t>行政许可事项名称</w:t>
      </w:r>
      <w:r>
        <w:rPr>
          <w:rFonts w:hint="eastAsia" w:ascii="楷体_GB2312" w:hAnsi="楷体_GB2312" w:eastAsia="楷体_GB2312" w:cs="楷体_GB2312"/>
          <w:b w:val="0"/>
          <w:bCs w:val="0"/>
          <w:sz w:val="32"/>
          <w:szCs w:val="32"/>
          <w:lang w:val="en-US" w:eastAsia="zh-CN"/>
        </w:rPr>
        <w:t>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rPr>
      </w:pPr>
      <w:r>
        <w:rPr>
          <w:rFonts w:hint="eastAsia" w:ascii="仿宋_GB2312" w:hAnsi="仿宋_GB2312" w:eastAsia="仿宋_GB2312" w:cs="仿宋_GB2312"/>
          <w:b w:val="0"/>
          <w:bCs w:val="0"/>
          <w:strike w:val="0"/>
          <w:dstrike w:val="0"/>
          <w:color w:val="auto"/>
          <w:sz w:val="32"/>
          <w:szCs w:val="32"/>
          <w:lang w:val="en-US"/>
        </w:rPr>
        <w:t>特种设备使用登记【00013111000Y】</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行政许可</w:t>
      </w:r>
      <w:r>
        <w:rPr>
          <w:rFonts w:hint="eastAsia" w:ascii="楷体_GB2312" w:hAnsi="楷体_GB2312" w:eastAsia="楷体_GB2312" w:cs="楷体_GB2312"/>
          <w:b w:val="0"/>
          <w:bCs w:val="0"/>
          <w:sz w:val="32"/>
          <w:szCs w:val="32"/>
          <w:lang w:val="en-US" w:eastAsia="zh-CN"/>
        </w:rPr>
        <w:t>事项</w:t>
      </w:r>
      <w:r>
        <w:rPr>
          <w:rFonts w:hint="eastAsia" w:ascii="仿宋_GB2312" w:hAnsi="仿宋_GB2312" w:eastAsia="仿宋_GB2312" w:cs="仿宋_GB2312"/>
          <w:strike w:val="0"/>
          <w:dstrike w:val="0"/>
          <w:color w:val="auto"/>
          <w:sz w:val="32"/>
          <w:szCs w:val="32"/>
          <w:lang w:val="en-US" w:eastAsia="zh-CN"/>
        </w:rPr>
        <w:t>子项</w:t>
      </w:r>
      <w:r>
        <w:rPr>
          <w:rFonts w:hint="eastAsia" w:ascii="楷体_GB2312" w:hAnsi="楷体_GB2312" w:eastAsia="楷体_GB2312" w:cs="楷体_GB2312"/>
          <w:b w:val="0"/>
          <w:bCs w:val="0"/>
          <w:sz w:val="32"/>
          <w:szCs w:val="32"/>
          <w:lang w:val="en-US" w:eastAsia="zh-CN"/>
        </w:rPr>
        <w:t>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rPr>
      </w:pPr>
      <w:r>
        <w:rPr>
          <w:rFonts w:hint="eastAsia" w:ascii="仿宋_GB2312" w:hAnsi="仿宋_GB2312" w:eastAsia="仿宋_GB2312" w:cs="仿宋_GB2312"/>
          <w:b w:val="0"/>
          <w:bCs w:val="0"/>
          <w:strike w:val="0"/>
          <w:dstrike w:val="0"/>
          <w:color w:val="auto"/>
          <w:sz w:val="32"/>
          <w:szCs w:val="32"/>
          <w:lang w:val="en-US"/>
        </w:rPr>
        <w:t>特种设备使用登记（设区的市级权限）【000131110002】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rPr>
      </w:pP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rPr>
        <w:t>特种设备使用登记（设区的市级权限）首次申请（00013111000201）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rPr>
      </w:pP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rPr>
        <w:t>特种设备使用登记（设区的市级权限）申请变更（00013111000202）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rPr>
      </w:pP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rPr>
        <w:t>特种设备使用登记（设区的市级权限）注销（00013111000203）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《中华人民共和国特种设备安全法》第三十三条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《中华人民共和国特种设备安全法》第四十七条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《中华人民共和国特种设备安全法》第四十八条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《中华人民共和国特种设备安全法》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《特种设备安全监察条例》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《云南省人民政府关于调整112项涉及州级及以下行政权力</w:t>
      </w:r>
      <w:bookmarkStart w:id="0" w:name="_GoBack"/>
      <w:bookmarkEnd w:id="0"/>
      <w:r>
        <w:rPr>
          <w:rFonts w:hint="eastAsia" w:ascii="方正仿宋_GBK" w:hAnsi="方正仿宋_GBK" w:eastAsia="方正仿宋_GBK" w:cs="方正仿宋_GBK"/>
          <w:strike w:val="0"/>
          <w:dstrike w:val="0"/>
          <w:sz w:val="32"/>
          <w:szCs w:val="32"/>
          <w:lang w:val="en-US" w:eastAsia="zh-CN"/>
        </w:rPr>
        <w:t>事项的决定》（云政发〔2020〕21号）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《中华人民共和国特种设备安全法》第六十条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实施机关</w:t>
      </w:r>
      <w:r>
        <w:rPr>
          <w:rFonts w:hint="eastAsia" w:ascii="楷体_GB2312" w:hAnsi="楷体_GB2312" w:eastAsia="楷体_GB2312" w:cs="楷体_GB2312"/>
          <w:b w:val="0"/>
          <w:bCs w:val="0"/>
          <w:sz w:val="32"/>
          <w:szCs w:val="32"/>
          <w:lang w:val="en-US" w:eastAsia="zh-CN"/>
        </w:rPr>
        <w:t>：</w:t>
      </w:r>
      <w:r>
        <w:rPr>
          <w:rFonts w:hint="eastAsia" w:eastAsia="仿宋_GB2312" w:cs="仿宋_GB2312"/>
          <w:b w:val="0"/>
          <w:bCs w:val="0"/>
          <w:strike w:val="0"/>
          <w:dstrike w:val="0"/>
          <w:color w:val="auto"/>
          <w:sz w:val="32"/>
          <w:szCs w:val="32"/>
          <w:lang w:val="en-US" w:eastAsia="zh-CN"/>
        </w:rPr>
        <w:t>临翔区市场监督管理局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w:t>
      </w:r>
      <w:r>
        <w:rPr>
          <w:rFonts w:hint="default" w:ascii="楷体_GB2312" w:hAnsi="楷体_GB2312" w:eastAsia="楷体_GB2312" w:cs="楷体_GB2312"/>
          <w:b w:val="0"/>
          <w:bCs w:val="0"/>
          <w:sz w:val="32"/>
          <w:szCs w:val="32"/>
          <w:lang w:val="en-US" w:eastAsia="zh-CN"/>
        </w:rPr>
        <w:t>审批层级</w:t>
      </w:r>
      <w:r>
        <w:rPr>
          <w:rFonts w:hint="eastAsia" w:ascii="楷体_GB2312" w:hAnsi="楷体_GB2312" w:eastAsia="楷体_GB2312" w:cs="楷体_GB2312"/>
          <w:b w:val="0"/>
          <w:bCs w:val="0"/>
          <w:sz w:val="32"/>
          <w:szCs w:val="32"/>
          <w:lang w:val="en-US" w:eastAsia="zh-CN"/>
        </w:rPr>
        <w:t>：</w:t>
      </w:r>
      <w:r>
        <w:rPr>
          <w:rFonts w:hint="eastAsia" w:eastAsia="仿宋_GB2312" w:cs="仿宋_GB2312"/>
          <w:b w:val="0"/>
          <w:bCs w:val="0"/>
          <w:strike w:val="0"/>
          <w:dstrike w:val="0"/>
          <w:color w:val="auto"/>
          <w:sz w:val="32"/>
          <w:szCs w:val="32"/>
          <w:lang w:val="en-US" w:eastAsia="zh-CN"/>
        </w:rPr>
        <w:t>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（九）行使</w:t>
      </w:r>
      <w:r>
        <w:rPr>
          <w:rFonts w:hint="default" w:ascii="楷体_GB2312" w:hAnsi="楷体_GB2312" w:eastAsia="楷体_GB2312" w:cs="楷体_GB2312"/>
          <w:b w:val="0"/>
          <w:bCs w:val="0"/>
          <w:sz w:val="32"/>
          <w:szCs w:val="32"/>
          <w:lang w:val="en-US" w:eastAsia="zh-CN"/>
        </w:rPr>
        <w:t>层级</w:t>
      </w:r>
      <w:r>
        <w:rPr>
          <w:rFonts w:hint="eastAsia" w:ascii="楷体_GB2312" w:hAnsi="楷体_GB2312" w:eastAsia="楷体_GB2312" w:cs="楷体_GB2312"/>
          <w:b w:val="0"/>
          <w:bCs w:val="0"/>
          <w:sz w:val="32"/>
          <w:szCs w:val="32"/>
          <w:lang w:val="en-US" w:eastAsia="zh-CN"/>
        </w:rPr>
        <w:t>：</w:t>
      </w:r>
      <w:r>
        <w:rPr>
          <w:rFonts w:hint="eastAsia" w:eastAsia="仿宋_GB2312" w:cs="仿宋_GB2312"/>
          <w:b w:val="0"/>
          <w:bCs w:val="0"/>
          <w:strike w:val="0"/>
          <w:dstrike w:val="0"/>
          <w:color w:val="auto"/>
          <w:sz w:val="32"/>
          <w:szCs w:val="32"/>
          <w:lang w:val="en-US" w:eastAsia="zh-CN"/>
        </w:rPr>
        <w:t>区</w:t>
      </w:r>
      <w:r>
        <w:rPr>
          <w:rFonts w:hint="eastAsia" w:ascii="仿宋_GB2312" w:hAnsi="仿宋_GB2312" w:eastAsia="仿宋_GB2312" w:cs="仿宋_GB2312"/>
          <w:b w:val="0"/>
          <w:bCs w:val="0"/>
          <w:strike w:val="0"/>
          <w:dstrike w:val="0"/>
          <w:color w:val="auto"/>
          <w:sz w:val="32"/>
          <w:szCs w:val="32"/>
          <w:lang w:val="en-US" w:eastAsia="zh-CN"/>
        </w:rPr>
        <w:t>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w:t>
      </w:r>
      <w:r>
        <w:rPr>
          <w:rFonts w:hint="default" w:ascii="楷体_GB2312" w:hAnsi="楷体_GB2312" w:eastAsia="楷体_GB2312" w:cs="楷体_GB2312"/>
          <w:b w:val="0"/>
          <w:bCs w:val="0"/>
          <w:sz w:val="32"/>
          <w:szCs w:val="32"/>
          <w:lang w:val="en-US" w:eastAsia="zh-CN"/>
        </w:rPr>
        <w:t>是否由审批机关受理</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（十一）</w:t>
      </w:r>
      <w:r>
        <w:rPr>
          <w:rFonts w:hint="default" w:ascii="楷体_GB2312" w:hAnsi="楷体_GB2312" w:eastAsia="楷体_GB2312" w:cs="楷体_GB2312"/>
          <w:b w:val="0"/>
          <w:bCs w:val="0"/>
          <w:sz w:val="32"/>
          <w:szCs w:val="32"/>
          <w:lang w:val="en-US" w:eastAsia="zh-CN"/>
        </w:rPr>
        <w:t>受理层级</w:t>
      </w:r>
      <w:r>
        <w:rPr>
          <w:rFonts w:hint="eastAsia" w:ascii="楷体_GB2312" w:hAnsi="楷体_GB2312" w:eastAsia="楷体_GB2312" w:cs="楷体_GB2312"/>
          <w:b w:val="0"/>
          <w:bCs w:val="0"/>
          <w:sz w:val="32"/>
          <w:szCs w:val="32"/>
          <w:lang w:val="en-US" w:eastAsia="zh-CN"/>
        </w:rPr>
        <w:t>：区</w:t>
      </w:r>
      <w:r>
        <w:rPr>
          <w:rFonts w:hint="eastAsia" w:ascii="仿宋_GB2312" w:hAnsi="仿宋_GB2312" w:eastAsia="仿宋_GB2312" w:cs="仿宋_GB2312"/>
          <w:b w:val="0"/>
          <w:bCs w:val="0"/>
          <w:strike w:val="0"/>
          <w:dstrike w:val="0"/>
          <w:color w:val="auto"/>
          <w:sz w:val="32"/>
          <w:szCs w:val="32"/>
          <w:lang w:val="en-US" w:eastAsia="zh-CN"/>
        </w:rPr>
        <w:t>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（十二）</w:t>
      </w:r>
      <w:r>
        <w:rPr>
          <w:rFonts w:hint="default" w:ascii="楷体_GB2312" w:hAnsi="楷体_GB2312" w:eastAsia="楷体_GB2312" w:cs="楷体_GB2312"/>
          <w:b w:val="0"/>
          <w:bCs w:val="0"/>
          <w:sz w:val="32"/>
          <w:szCs w:val="32"/>
          <w:lang w:val="en-US" w:eastAsia="zh-CN"/>
        </w:rPr>
        <w:t>是否存在初审环节</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（十三）</w:t>
      </w:r>
      <w:r>
        <w:rPr>
          <w:rFonts w:hint="default" w:ascii="楷体_GB2312" w:hAnsi="楷体_GB2312" w:eastAsia="楷体_GB2312" w:cs="楷体_GB2312"/>
          <w:b w:val="0"/>
          <w:bCs w:val="0"/>
          <w:sz w:val="32"/>
          <w:szCs w:val="32"/>
          <w:lang w:val="en-US" w:eastAsia="zh-CN"/>
        </w:rPr>
        <w:t>初审层级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（十四）</w:t>
      </w:r>
      <w:r>
        <w:rPr>
          <w:rFonts w:hint="default" w:ascii="楷体_GB2312" w:hAnsi="楷体_GB2312" w:eastAsia="楷体_GB2312" w:cs="楷体_GB2312"/>
          <w:b w:val="0"/>
          <w:bCs w:val="0"/>
          <w:sz w:val="32"/>
          <w:szCs w:val="32"/>
          <w:lang w:val="en-US" w:eastAsia="zh-CN"/>
        </w:rPr>
        <w:t>对应政务服务事项国家级基本目录名称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（十五）要素统一情况：</w:t>
      </w:r>
      <w:r>
        <w:rPr>
          <w:rFonts w:hint="eastAsia" w:ascii="仿宋_GB2312" w:hAnsi="仿宋_GB2312" w:eastAsia="仿宋_GB2312" w:cs="仿宋_GB2312"/>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1.特种设备的使用者具有合法的身份；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2.特种设备由取得许可的单位设计、制造、安装；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3.特种设备经检验合格；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4.符合相关特种设备安全技术规范的基本要求。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《特种设备使用管理规则》第3条　使用登记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（一）服务对象类型：</w:t>
      </w:r>
      <w:r>
        <w:rPr>
          <w:rFonts w:hint="eastAsia" w:ascii="仿宋_GB2312" w:hAnsi="仿宋_GB2312" w:eastAsia="仿宋_GB2312" w:cs="仿宋_GB2312"/>
          <w:b w:val="0"/>
          <w:bCs w:val="0"/>
          <w:strike w:val="0"/>
          <w:dstrike w:val="0"/>
          <w:color w:val="auto"/>
          <w:sz w:val="32"/>
          <w:szCs w:val="32"/>
          <w:lang w:val="en-US" w:eastAsia="zh-CN"/>
        </w:rPr>
        <w:t>自然人，企业法人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（三）涉企经营许可事项名称：</w:t>
      </w:r>
      <w:r>
        <w:rPr>
          <w:rFonts w:hint="eastAsia" w:ascii="仿宋_GB2312" w:hAnsi="仿宋_GB2312" w:eastAsia="仿宋_GB2312" w:cs="仿宋_GB2312"/>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eastAsia="仿宋_GB2312" w:cs="仿宋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b w:val="0"/>
          <w:bCs w:val="0"/>
          <w:sz w:val="32"/>
          <w:szCs w:val="32"/>
          <w:highlight w:val="none"/>
          <w:lang w:val="en-US" w:eastAsia="zh-CN"/>
        </w:rPr>
        <w:t>（四）许可证件名称：</w:t>
      </w:r>
      <w:r>
        <w:rPr>
          <w:rFonts w:hint="eastAsia" w:ascii="仿宋_GB2312" w:hAnsi="仿宋_GB2312" w:eastAsia="仿宋_GB2312" w:cs="仿宋_GB2312"/>
          <w:b w:val="0"/>
          <w:bCs w:val="0"/>
          <w:strike w:val="0"/>
          <w:dstrike w:val="0"/>
          <w:color w:val="auto"/>
          <w:sz w:val="32"/>
          <w:szCs w:val="32"/>
          <w:highlight w:val="none"/>
          <w:lang w:val="en-US" w:eastAsia="zh-CN"/>
        </w:rPr>
        <w:t>特种设备使用登记证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《特种设备使用管理规则》第3条　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（五）改革方式：</w:t>
      </w:r>
      <w:r>
        <w:rPr>
          <w:rFonts w:hint="eastAsia" w:ascii="仿宋_GB2312" w:hAnsi="仿宋_GB2312" w:eastAsia="仿宋_GB2312" w:cs="仿宋_GB2312"/>
          <w:b w:val="0"/>
          <w:bCs w:val="0"/>
          <w:strike w:val="0"/>
          <w:dstrike w:val="0"/>
          <w:color w:val="auto"/>
          <w:sz w:val="32"/>
          <w:szCs w:val="32"/>
          <w:lang w:val="en-US" w:eastAsia="zh-CN"/>
        </w:rPr>
        <w:t>无</w:t>
      </w:r>
    </w:p>
    <w:p>
      <w:pPr>
        <w:spacing w:line="60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优化准入服务，精简下放许可事项。</w:t>
      </w:r>
    </w:p>
    <w:p>
      <w:pPr>
        <w:spacing w:line="60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strike w:val="0"/>
          <w:dstrike w:val="0"/>
          <w:color w:val="auto"/>
          <w:sz w:val="32"/>
          <w:szCs w:val="32"/>
          <w:lang w:val="en-US" w:eastAsia="zh-CN"/>
        </w:rPr>
        <w:t>通过“双随机、一公开”抽查和重点抽查相结合，加大证后监督抽查力度。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锅炉、压力容器（气瓶除外）、电梯、起重机械、客运索道、大型游乐设施和场（厂）内专用机动车辆应当按台（套）向登记机关办理使用登记，车用气瓶以车为单位进行使用登记。使用单位申请办理特种设备使用登记时，应当逐台（套）填写使用登记表，向登记机关提交以下相应资料，并且对其真实性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1.使用登记表（一式两份）；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2.含有使用单位统一社会信用代码的证明或者个人身份证明（适用于公民个人所有的特种设备）；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3.特种设备产品合格证（含产品数据表、车用气瓶安装合格证明）；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4.特种设备监督检验证明（安全技术规范要求进行使用前首次检验的特种设备，应当提交使用前的首次检验报告）；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5.机动车行驶证（适用于与机动车固定的移动式压力容器）、机动车登记证书（适用于与机动车固定的车用气瓶）；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6.锅炉能效证明文件。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锅炉房内的分汽（水）缸随锅炉一同办理使用登记；锅炉与用热设备之间的连接气瓶（车用气瓶除外）、工业管道应当以使用单位为对象向登记机关办理使用登记。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气瓶（车用气瓶除外）、工业管道应当以使用单位为对象向登记机关办理使用登记。使用单位申请办理特种设备使用登记时，应当向登记机关提交以下相应资料，并且对其真实性负责：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（1）使用登记表（一式两份）；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（2）含有使用单位统一社会信用代码的证明；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（3）监督检验、定期检验证明；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（4）《压力管道基本信息汇总表——工业管道》，《气瓶基本信息汇总表》。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变更特种设备使用登记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按台（套）登记的特种设备改造、移装、变更使用单位或者使用单位更名、达到设计使用年限继续使用的，按单位登记的特种设备变更使用单位或者使用单位更名的，相关单位应当向登记机关申请变更登记。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办理特种设备变更登记时，如果特种设备产品数据表中的有关数据发生变化，使用单位应当重新填写产品数据表。变更登记后的特种设备，其设备代码保持不变。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特种设备停用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拟停用1年以上的，使用单位应当采取有效的保护措施，并且设置停用标志，在停用后30日内填写《特种设备停用报废注销登记表》，告知登记机关。重新启用时，使用单位应当进行自行检查，到使用登记机关办理启用手续；超过定期检验有效期的，应当按照定期检验的有关要求进行检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特种设备报废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对存在严重事故隐患，无改造、修理价值的特种设备，或者达到安全技术规范规定的报废期限的，应当及时予以报废，产权单位应当采取必要措施消除该特种设备的使用功能。特种设备报废时，按台（套）登记的特种设备应当办理报废手续，填写《特种设备停用报废注销登记表》，向登记机关办理报废手续，并且将使用登记证交回登记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非产权所有者的使用单位经产权单位授权办理特种设备报废注销手续时，需提供产权单位的书面委托或者授权文件。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使用单位和产权单位注销、倒闭、迁移或者失联，未办理特种设备注销手续的，登记机关可以采用公告的方式停用或者注销相关特种设备。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特种设备注销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（1）《特种设备停用报废注销登记表》；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《特种设备使用管理规则》第3条　使用登记、第3.10条 报废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中介服务事项名称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设定中介服务事项的依据</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提供中介服务的机构</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中介服务事项的收费性质</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申请人申请；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审批机构受理 / 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审批机构审查；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4.</w:t>
      </w:r>
      <w:r>
        <w:rPr>
          <w:rFonts w:hint="eastAsia" w:ascii="仿宋_GB2312" w:hAnsi="仿宋_GB2312" w:eastAsia="仿宋_GB2312" w:cs="仿宋_GB2312"/>
          <w:b w:val="0"/>
          <w:bCs w:val="0"/>
          <w:strike w:val="0"/>
          <w:dstrike w:val="0"/>
          <w:color w:val="auto"/>
          <w:sz w:val="32"/>
          <w:szCs w:val="32"/>
          <w:lang w:val="en-US" w:eastAsia="zh-CN"/>
        </w:rPr>
        <w:t>决定颁发使用登记证 / 不予颁发使用登记证。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strike w:val="0"/>
          <w:dstrike w:val="0"/>
          <w:color w:val="auto"/>
          <w:sz w:val="32"/>
          <w:szCs w:val="32"/>
          <w:lang w:val="en-US" w:eastAsia="zh-CN"/>
        </w:rPr>
        <w:t>《特种设备使用管理规则》第3条。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是否需要现场勘验</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是否需要组织听证</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是否需要招标、拍卖、挂牌交易</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（六）</w:t>
      </w:r>
      <w:r>
        <w:rPr>
          <w:rFonts w:hint="default" w:ascii="楷体_GB2312" w:hAnsi="楷体_GB2312" w:eastAsia="楷体_GB2312" w:cs="楷体_GB2312"/>
          <w:b w:val="0"/>
          <w:bCs w:val="0"/>
          <w:sz w:val="32"/>
          <w:szCs w:val="32"/>
          <w:lang w:val="en-US" w:eastAsia="zh-CN"/>
        </w:rPr>
        <w:t>是否需要检验、检测、检疫</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是否需要鉴定</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w:t>
      </w:r>
      <w:r>
        <w:rPr>
          <w:rFonts w:hint="default" w:ascii="楷体_GB2312" w:hAnsi="楷体_GB2312" w:eastAsia="楷体_GB2312" w:cs="楷体_GB2312"/>
          <w:b w:val="0"/>
          <w:bCs w:val="0"/>
          <w:sz w:val="32"/>
          <w:szCs w:val="32"/>
          <w:lang w:val="en-US" w:eastAsia="zh-CN"/>
        </w:rPr>
        <w:t>是否需要鉴定</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w:t>
      </w:r>
      <w:r>
        <w:rPr>
          <w:rFonts w:hint="default" w:ascii="楷体_GB2312" w:hAnsi="楷体_GB2312" w:eastAsia="楷体_GB2312" w:cs="楷体_GB2312"/>
          <w:b w:val="0"/>
          <w:bCs w:val="0"/>
          <w:sz w:val="32"/>
          <w:szCs w:val="32"/>
          <w:lang w:val="en-US" w:eastAsia="zh-CN"/>
        </w:rPr>
        <w:t>是否需要向社会公示</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w:t>
      </w:r>
      <w:r>
        <w:rPr>
          <w:rFonts w:hint="default" w:ascii="楷体_GB2312" w:hAnsi="楷体_GB2312" w:eastAsia="楷体_GB2312" w:cs="楷体_GB2312"/>
          <w:b w:val="0"/>
          <w:bCs w:val="0"/>
          <w:sz w:val="32"/>
          <w:szCs w:val="32"/>
          <w:lang w:val="en-US" w:eastAsia="zh-CN"/>
        </w:rPr>
        <w:t>是否实行告知承诺办理</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（十一）审批机关是否委托服务机构开展技术性服务：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（一）承诺受理时限：3</w:t>
      </w:r>
      <w:r>
        <w:rPr>
          <w:rFonts w:hint="eastAsia" w:ascii="仿宋_GB2312" w:hAnsi="仿宋_GB2312" w:eastAsia="仿宋_GB2312" w:cs="仿宋_GB2312"/>
          <w:b w:val="0"/>
          <w:bCs w:val="0"/>
          <w:strike w:val="0"/>
          <w:dstrike w:val="0"/>
          <w:color w:val="auto"/>
          <w:sz w:val="32"/>
          <w:szCs w:val="32"/>
          <w:lang w:val="en-US" w:eastAsia="zh-CN"/>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（二）法定审批时限：15</w:t>
      </w:r>
      <w:r>
        <w:rPr>
          <w:rFonts w:hint="eastAsia" w:ascii="仿宋_GB2312" w:hAnsi="仿宋_GB2312" w:eastAsia="仿宋_GB2312" w:cs="仿宋_GB2312"/>
          <w:b w:val="0"/>
          <w:bCs w:val="0"/>
          <w:strike w:val="0"/>
          <w:dstrike w:val="0"/>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1.《中华人民共和国行政许可法》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（四）承诺审批时限：</w:t>
      </w:r>
      <w:r>
        <w:rPr>
          <w:rFonts w:hint="eastAsia" w:ascii="仿宋_GB2312" w:hAnsi="仿宋_GB2312" w:eastAsia="仿宋_GB2312" w:cs="仿宋_GB2312"/>
          <w:b w:val="0"/>
          <w:bCs w:val="0"/>
          <w:strike w:val="0"/>
          <w:dstrike w:val="0"/>
          <w:color w:val="auto"/>
          <w:sz w:val="32"/>
          <w:szCs w:val="32"/>
          <w:lang w:val="en-US" w:eastAsia="zh-CN"/>
        </w:rPr>
        <w:t>3个工作日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十、行政许可证件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（一）审批结果类型：</w:t>
      </w:r>
      <w:r>
        <w:rPr>
          <w:rFonts w:hint="eastAsia" w:ascii="仿宋_GB2312" w:hAnsi="仿宋_GB2312" w:eastAsia="仿宋_GB2312" w:cs="仿宋_GB2312"/>
          <w:b w:val="0"/>
          <w:bCs w:val="0"/>
          <w:strike w:val="0"/>
          <w:dstrike w:val="0"/>
          <w:color w:val="auto"/>
          <w:sz w:val="32"/>
          <w:szCs w:val="32"/>
          <w:lang w:val="en-US" w:eastAsia="zh-CN"/>
        </w:rPr>
        <w:t>证照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（二）审批结果名称：</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b w:val="0"/>
          <w:bCs w:val="0"/>
          <w:strike w:val="0"/>
          <w:dstrike w:val="0"/>
          <w:color w:val="auto"/>
          <w:sz w:val="32"/>
          <w:szCs w:val="32"/>
          <w:lang w:val="en-US" w:eastAsia="zh-CN"/>
        </w:rPr>
        <w:t>特种设备使用登记证》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（三）审批结果的有效期限：</w:t>
      </w:r>
      <w:r>
        <w:rPr>
          <w:rFonts w:hint="eastAsia" w:ascii="仿宋_GB2312" w:hAnsi="仿宋_GB2312" w:eastAsia="仿宋_GB2312" w:cs="仿宋_GB2312"/>
          <w:b w:val="0"/>
          <w:bCs w:val="0"/>
          <w:strike w:val="0"/>
          <w:dstrike w:val="0"/>
          <w:color w:val="auto"/>
          <w:sz w:val="32"/>
          <w:szCs w:val="32"/>
          <w:lang w:val="en-US" w:eastAsia="zh-CN"/>
        </w:rPr>
        <w:t>达到设计使用年限或达到报废条件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《中华人民共和国特种设备安全法》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楷体_GB2312" w:hAnsi="楷体_GB2312" w:eastAsia="楷体_GB2312" w:cs="楷体_GB2312"/>
          <w:b w:val="0"/>
          <w:bCs w:val="0"/>
          <w:sz w:val="32"/>
          <w:szCs w:val="32"/>
          <w:lang w:val="en-US" w:eastAsia="zh-CN"/>
        </w:rPr>
        <w:t>（五）是否需要办理审批结果变更手续：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按台（套）登记的特种设备改造、移装、变更使用单位或者使用单位更名、达到设计使用年限继续使用的，按单位登记的特种设备变更使用单位或者使用单位更名的，相关单位应当向登记机关申请变更登记。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办理特种设备变更登记时，如果特种设备产品数据表中的有关数据发生变化，使用单位应当重新填写产品数据表。变更登记后的特种设备，其设备代码保持不变。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（八）办理审批结果延续手续的依据：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对达到设计使用年限继续使用的特种设备，使用单位应当持原使用登记证、按照规定办理的相关证明材料，到登记机关申请变更登记。登记机关应当在原使用登记证右上方标注“超设计使用年限”字样。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（九）审批结果的有效地域范围：</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（十）规定审批结果有效地域范围的依据：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（二）公布数量限制的方式：无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楷体_GB2312" w:hAnsi="楷体_GB2312" w:eastAsia="楷体_GB2312" w:cs="楷体_GB2312"/>
          <w:b w:val="0"/>
          <w:bCs w:val="0"/>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十二、行政许可后年检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（一）有无年检要求：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（三）年检周期：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（六）年检是否收费：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十三、行政许可后年报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楷体_GB2312" w:hAnsi="楷体_GB2312" w:eastAsia="楷体_GB2312" w:cs="楷体_GB2312"/>
          <w:b w:val="0"/>
          <w:bCs w:val="0"/>
          <w:sz w:val="32"/>
          <w:szCs w:val="32"/>
          <w:lang w:val="en-US" w:eastAsia="zh-CN"/>
        </w:rPr>
        <w:t>（一）</w:t>
      </w:r>
      <w:r>
        <w:rPr>
          <w:rFonts w:hint="default" w:ascii="楷体_GB2312" w:hAnsi="楷体_GB2312" w:eastAsia="楷体_GB2312" w:cs="楷体_GB2312"/>
          <w:b w:val="0"/>
          <w:bCs w:val="0"/>
          <w:sz w:val="32"/>
          <w:szCs w:val="32"/>
          <w:lang w:val="en-US" w:eastAsia="zh-CN"/>
        </w:rPr>
        <w:t>有无年报要求</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年报报送材料名称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设定年报要求的依据</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年报周期</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default"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临翔区</w:t>
      </w:r>
      <w:r>
        <w:rPr>
          <w:rFonts w:hint="eastAsia" w:ascii="仿宋_GB2312" w:hAnsi="仿宋_GB2312" w:eastAsia="仿宋_GB2312" w:cs="仿宋_GB2312"/>
          <w:b w:val="0"/>
          <w:bCs w:val="0"/>
          <w:strike w:val="0"/>
          <w:dstrike w:val="0"/>
          <w:color w:val="auto"/>
          <w:sz w:val="32"/>
          <w:szCs w:val="32"/>
          <w:lang w:val="en-US" w:eastAsia="zh-CN"/>
        </w:rPr>
        <w:t>市场</w:t>
      </w:r>
      <w:r>
        <w:rPr>
          <w:rFonts w:hint="eastAsia" w:eastAsia="仿宋_GB2312" w:cs="仿宋_GB2312"/>
          <w:b w:val="0"/>
          <w:bCs w:val="0"/>
          <w:strike w:val="0"/>
          <w:dstrike w:val="0"/>
          <w:color w:val="auto"/>
          <w:sz w:val="32"/>
          <w:szCs w:val="32"/>
          <w:lang w:val="en-US" w:eastAsia="zh-CN"/>
        </w:rPr>
        <w:t>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YzNiMjEwNWFhYmViZGJhZWI2NDk3ZmZmNjEzYzYifQ=="/>
  </w:docVars>
  <w:rsids>
    <w:rsidRoot w:val="4FBA52E4"/>
    <w:rsid w:val="01722330"/>
    <w:rsid w:val="02D14515"/>
    <w:rsid w:val="03622F14"/>
    <w:rsid w:val="03960557"/>
    <w:rsid w:val="04E93A99"/>
    <w:rsid w:val="062A135F"/>
    <w:rsid w:val="06E7365E"/>
    <w:rsid w:val="07C733D5"/>
    <w:rsid w:val="07D7350F"/>
    <w:rsid w:val="0A97606E"/>
    <w:rsid w:val="0B8E7D66"/>
    <w:rsid w:val="0C03437D"/>
    <w:rsid w:val="0D1C7A0F"/>
    <w:rsid w:val="0EE51716"/>
    <w:rsid w:val="104222A0"/>
    <w:rsid w:val="108B5869"/>
    <w:rsid w:val="11154740"/>
    <w:rsid w:val="111C7732"/>
    <w:rsid w:val="12CF0D11"/>
    <w:rsid w:val="1338151A"/>
    <w:rsid w:val="14D67AAF"/>
    <w:rsid w:val="1504265B"/>
    <w:rsid w:val="15485429"/>
    <w:rsid w:val="17CA2E25"/>
    <w:rsid w:val="19942A44"/>
    <w:rsid w:val="1CE912A0"/>
    <w:rsid w:val="1F577AAD"/>
    <w:rsid w:val="2295066B"/>
    <w:rsid w:val="25A367BA"/>
    <w:rsid w:val="25CD578F"/>
    <w:rsid w:val="25D06DA7"/>
    <w:rsid w:val="27E73BF0"/>
    <w:rsid w:val="2835183D"/>
    <w:rsid w:val="2E5E0DCF"/>
    <w:rsid w:val="2E6E4E1A"/>
    <w:rsid w:val="2E8623B3"/>
    <w:rsid w:val="336D4932"/>
    <w:rsid w:val="34255F08"/>
    <w:rsid w:val="34E47344"/>
    <w:rsid w:val="354228D1"/>
    <w:rsid w:val="3579545F"/>
    <w:rsid w:val="35AB1391"/>
    <w:rsid w:val="384F4255"/>
    <w:rsid w:val="39A3711D"/>
    <w:rsid w:val="39A44A75"/>
    <w:rsid w:val="3C1945DA"/>
    <w:rsid w:val="3C652F01"/>
    <w:rsid w:val="3DD06400"/>
    <w:rsid w:val="437E27CF"/>
    <w:rsid w:val="44502FB8"/>
    <w:rsid w:val="44843967"/>
    <w:rsid w:val="46EE2A8A"/>
    <w:rsid w:val="47785EDA"/>
    <w:rsid w:val="481D53D0"/>
    <w:rsid w:val="48BC5937"/>
    <w:rsid w:val="48FB3991"/>
    <w:rsid w:val="4A9C4278"/>
    <w:rsid w:val="4A9D57BE"/>
    <w:rsid w:val="4B074E64"/>
    <w:rsid w:val="4E0905AD"/>
    <w:rsid w:val="4E3643A2"/>
    <w:rsid w:val="4E65072F"/>
    <w:rsid w:val="4FBA2D96"/>
    <w:rsid w:val="4FBA52E4"/>
    <w:rsid w:val="4FE323F0"/>
    <w:rsid w:val="501F0559"/>
    <w:rsid w:val="50F87728"/>
    <w:rsid w:val="55A96ED7"/>
    <w:rsid w:val="57392195"/>
    <w:rsid w:val="57853C3C"/>
    <w:rsid w:val="5E077B83"/>
    <w:rsid w:val="5EDE64A0"/>
    <w:rsid w:val="608D2202"/>
    <w:rsid w:val="651A2071"/>
    <w:rsid w:val="678F52CE"/>
    <w:rsid w:val="6AA40971"/>
    <w:rsid w:val="6C727F37"/>
    <w:rsid w:val="6EAC1FD4"/>
    <w:rsid w:val="6EC24A7A"/>
    <w:rsid w:val="70540263"/>
    <w:rsid w:val="708A2FC1"/>
    <w:rsid w:val="70926E67"/>
    <w:rsid w:val="70FD639C"/>
    <w:rsid w:val="738540F8"/>
    <w:rsid w:val="77294D2D"/>
    <w:rsid w:val="77DC4DFE"/>
    <w:rsid w:val="790B4D88"/>
    <w:rsid w:val="7A6E4BD1"/>
    <w:rsid w:val="7AA93C53"/>
    <w:rsid w:val="7B095F8D"/>
    <w:rsid w:val="7BD86176"/>
    <w:rsid w:val="7FE7B99E"/>
    <w:rsid w:val="B7079E51"/>
    <w:rsid w:val="F74781E6"/>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Theme="minorEastAsia"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云南省质量技术监督局</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2023-09-15T00:22:00Z</dcterms:created>
  <dc:creator>邹正勇【行政审批处】</dc:creator>
  <cp:lastModifiedBy>Administrator</cp:lastModifiedBy>
  <cp:lastPrinted>2023-10-09T11:43:00Z</cp:lastPrinted>
  <dcterms:modified xsi:type="dcterms:W3CDTF">2024-05-24T02:29:36Z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E70CE1F91E1F4AEC93D879BA7A45081C_13</vt:lpwstr>
  </property>
</Properties>
</file>